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b3cb" w14:textId="9b8b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1 к Регламенту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декабря 2023 года № 22.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дополнить пунктом 12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 Утверждение Правил определения происхождения товаров, вывозимых с таможенной территории Евразийского экономического союза, в отношении которых государствами - членами Евразийского экономического союза применяются отдельные меры регулирования.";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опубликования, за исключением подпункта "а" пункта 1.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"а" пункта 1 настоящего Решения вступает в силу с даты вступления в силу Соглашения о гармонизированной системе определения происхождения товаров, вывозимых с таможенной территории Евразийского экономического союза.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</w:t>
      </w:r>
      <w:r>
        <w:rPr>
          <w:rFonts w:ascii="Times New Roman"/>
          <w:b/>
          <w:i w:val="false"/>
          <w:color w:val="000000"/>
          <w:sz w:val="28"/>
        </w:rPr>
        <w:t>Высшего Евразийского</w:t>
      </w:r>
      <w:r>
        <w:rPr>
          <w:rFonts w:ascii="Times New Roman"/>
          <w:b/>
          <w:i w:val="false"/>
          <w:color w:val="000000"/>
          <w:sz w:val="28"/>
        </w:rPr>
        <w:t xml:space="preserve"> экономическо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