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c3a7" w14:textId="ac8c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Евразийском экономическом союзе смешанных перевозок и предложениях по совершенствованию права Евразийского экономического союза в части осуществления контейнерных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2022 года № 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пунктами 6 и 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годы, утвержденного распоряжением Евразийского межправительственного совета от 20 августа 2021 г. № 15,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транзитного потенциала государств – членов Евразийского экономического союза (далее соответственно – государства-члены, Союз),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международном и национальном опыте контейнеризации грузов, результатах анализа контейнерных перевозок,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создания условий, способствующих организации устойчивой логистики контейнерного оборота, обеспечению недискриминационного доступа потенциальных клиентов к сервисам контейнерной перевозки и транспортной инфраструктуре государств-членов: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разработку и внедрение сервисов по применению электронных международных транспортных и товаросопроводительных документов, мониторингу и отслеживанию перевозок грузов в рамках формирования экосистемы цифровых транспортных коридоров и создания единого цифрового пространства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возможность создания автоматизированного банка данных приватных контейнеров, гармонизированного с официальным регистром Международного бюро по контейнерам (CONTAINERS BIC-CODE);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увеличения пропускной способности железных и автомобильных дорог, доступности портовых терминальных мощностей, модернизации пунктов пропуска, контейнерного оборудования и подвижного состава транспортных операторов, а также проведения технологических мероприятий, гарантирующих качество перевозочного процесса, своевременность и безопасность доставки товаров;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на основе экономической оценки вопрос о целесообразности развития в государствах-членах соответствующих мощностей для производства универсальных и (или) специализированных контейнеров и оборудования для них;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выработку предложений по совершенствованию права Союза в части осуществления контейнерных перевозок с учетом изменения логистических маршрутов перемещения товаров в современных условиях.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и согласовании принципов регламентации смешанных перевозок, организации новых логистических цепочек доставки грузов взаимодействующими видами транспорта, а также для целей развития контейнерных перевозок принимать во внимание следующую деятельность международных организаций (документы, рекомендации и организуемые пилотные проекты, в том числе с участием государств-членов и их хозяйствующих субъектов):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Экономической и социальной комиссией Организации Объединенных Наций для Азии и Тихого океана (ЭСКАТО) руководства по гармонизации национальных законов о мультимодальных перевозках в Азиатско-Тихоокеанском регионе в рамках проекта "Повышение интеграции и устойчивости транспортных сетей в Азиатско-Тихоокеанском регионе путем разработки нормативно-правовой базы мультимодальных транспортных операций";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структуре Справочной модели данных для мультимодальных перевозок Центра Организации Объединенных Наций по упрощению процедур торговли и электронным деловым операциям (СЕФАКТ ООН) более современных стандартов обмена электронными данными и документами наряду со Стандартом Организации Объединенных Наций для электронного обмена данными в управлении, торговле и на транспорте (ЭДИФАКТ);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применение электронных документов при международных перевозках железнодорожным транспортом в рамках Совета по железнодорожному транспорту государств – участников Содружества Независимых Государств и Организации сотрудничества железных дорог (включая организацию контейнерных перевозок в рамках Соглашения о перевозке контейнеров в составе контейнерных поездов в международном сообщении от 15 октября 2021 года);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применение электронных документов при международных перевозках грузов автомобильным транспортом в целях упрощения процедур международной торговли и пересечения границ в рамках Международного союза автомобильного транспорта;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международные и региональные проекты, реализуемые с участием государств-членов и направленные на развитие смешанных перевозок, а также устранение барьеров, препятствующих контейнеризации грузов в Союзе.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