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5497" w14:textId="7ad5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лекарственных препаратов и фармацевтических субстанций (активных фармацевтических субстанций) для медицинского применения, производство которых рекомендуется обеспечить в Евразийском экономическом союзе до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20 декабря 2022 года № 47.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подпунктом "в" пункта 1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повышению уровня обеспеченности государств – членов Евразийского экономического союза стратегически важными лекарственными препаратами и фармацевтическими субстанциями для медицинского применения, производство которых должно быть обеспечено в Евразийском экономическом союзе, до 2024 года, утвержденного распоряжением Евразийского межправительственного совета от 19 ноября 2021 г. № 23,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опубликования настоящей Рекомендации на официальном сайте Союза с целью стимулирования взаимовыгодной промышленной кооперации в сфере создания высокотехнологичной, инновационной и конкурентоспособной фармацевтической продукции учитывать перечень лекарственных препаратов и фармацевтических субстанций (активных фармацевтических субстанций) для медицинского применения, производство которых рекомендуется обеспечить в Евразийском экономическом союзе до 2024 года, размещенный на официальном сайте Союза по адресу: https://eec.eaeunion.org/upload/medialibrary/0b0/Proekt-Perechney-LP-i-FS.pdf.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