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618e" w14:textId="75a6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дистанционного обучения при реализации профессиональных образовательных программ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6декабря 2022 года № 44.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10.1.1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в целях развития дистанционного обучения как меры, направленной на дальнейшее обеспечение свободного перемещения трудовых ресурсов в рамках Евразийского экономического союза, при реализации профессиональных образовательных программ рассмотреть возможность оказания содействия организациям профессионального обучения в обеспечении: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нормативно-правового регулирования в сфере дистанционного обучения (при необходимости);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необходимой материально-технической базы (включая электронные информационные и образовательные ресурсы);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дополнительного профессионального образования (повышения квалификации и (или) профессиональной переподготовки) педагогических работников для применения ими дистанционных образовательных технологий при реализации профессиональных образовательных программ, а также методического сопровождения их деятельности;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механизмов сотрудничества между организациями профессионального обучения государств – членов Евразийского экономического союза в сфере дистанционного обучения.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