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e6a0" w14:textId="62ae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понятии "международный роуминговый трафик", используемом для целей реализации плана мероприятий по формированию условий, необходимых для установления справедливых тарифов на услуги сотовой связи в международном роуминге на территориях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23 августа 2022 года № 32.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формированию условий, необходимых для установления справедливых тарифов на услуги сотовой связи в международном роуминге на территориях государств – членов Евразийского экономического союза, утвержденного распоряжением Совета Евразийской экономической комиссии от 29 октября 2021 г. № 19 (далее – план),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с даты опубликования настоящей Рекомендации на официальном сайте Союза при реализации мероприятий плана руководствоваться понятием "международный роуминговый трафик", определение которого опубликовано на официальном сайте Союза по адресу: https://eec.eaeunion.org/upload/clcr/roaming.pdf.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