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dc2b" w14:textId="c79d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приоритетах и долгосрочном прогнозе научно-технического развития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июня 2022 года № 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пунктов 6.2.5, 8.1.1, 8.2.1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 апреля 2021 г. № 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реализации научно-технической политики принять во внимание приоритеты и долгосрочный прогноз научно-технического развития Евразийского экономического союза, представленные в докладе, размещенном на официальном сайте Союза по адресу: https://eec.eaeunion.org/upload/clcr/doklad_8.2.1.pdf.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