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561" w14:textId="29b4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лабораторной диагностике коронавирусной инфекции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апреля 2022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г. № 6 "О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COVID-19" и пункта 7 комплексного плана мероприятий в области здравоохранения и санитарно-эпидемиологического благополучия населения по предотвращению распространения коронавирусной инфекции COVID-19 и иных инфекционных заболеваний на территориях государств – членов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17 июля 2020 г. № 16,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лабораторной диагностике коронавирусной инфекции COVID-19 применять Методические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 13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лабораторной диагностике коронавирусной инфекции COVID-19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Область применения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Методические рекомендации предназначены для специалистов лабораторий государств – членов Евразийского экономического союза независимо от организационно-правовой формы (далее соответственно – государства-члены, лаборатории), участвующих в лабораторном обследовании лиц на коронавирусную инфекцию COVID-19 (далее – COVID-19).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Организация и порядок проведения лабораторной диагностики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Организация лабораторной диагностики COVID-19 осуществляется в лабораториях в соответствии с требованиями законодательства государства-члена по работе с микроорганизмами в соответствии с классификацией патогенности по уровню биологической безопасности (Biological Safety Level) BSL-2.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Лаборатории, имеющие в соответствии с законодательством государства-члена разрешение на проведение работ с возбудителями инфекционных заболеваний человека в соответствии с уровнем биологической безопасности BSL-2 и условия для работы (методом полимеразной цепной реакции (ПЦР) или другими методами), организуют работу по диагностике COVID-19 без выделения возбудителя и подтверждают диагноз COVID-19, пользуясь зарегистрированными (разрешенными) в установленном порядке на территории государства-члена диагностическими тест-системами в соответствии с инструкцией по их применению.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 работе с биологическими материалами для диагностики COVID-19 в лаборатории допускаются специалисты, прошедшие обучение и инструктаж, проведенные сотрудниками лабораторий, имеющими в соответствии с законодательством государства-члена разрешение на обучение проведению работ с возбудителями инфекционных заболеваний человека в соответствии с уровнем биологической безопасности BSL-2.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условиях распространения COVID-19 лабораторное обследование подлежащих обязательному обследованию (обязательных) контингентов целесообразно проводить исходя из эпидемиологической ситуации и в соответствии с законодательством государства-члена.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Научно-исследовательские работы с выделением (культивированием, накоплением, концентрированием) возбудителя COVID-19 проводятся только в лабораториях, имеющих в соответствии с законодательством государства-члена разрешение на работу с возбудителями инфекционных заболеваний человека в соответствии с уровнем биологической безопасности BSL-3.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лабораторных исследований используются следующие биологические материалы: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первичной диагностики: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материал для исследования – мазок из носоглотки и (или) ротоглотки и мокрота (при наличии), либо мазок из носоглотки и (или) ротоглотки и мокрота (при наличии) и эндотрахеальный аспират или бронхоальвеолярный лаваж, либо эндотрахеальный аспират или бронхоальвеолярный лаваж;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материал для исследования – фекальный или ректальный мазок;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определения иммунологического статуса – сыворотка крови;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посмертной диагностики – ткани биопсии или аутопсии легких, трахеи, селезенки и других органов.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Сбор биологического материала и его упаковка осуществляются работником медицинской организации, обученным требованиям и правилам биологической безопасности при работе с материалом, подозрительным на зараженность микроорганизмами в соответствии с классификацией патогенности.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Отобранный биологический материал помещается в отдельную транспортную емкость в соответствии с требованиями по перечню согласно приложению.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Транспортировку биологического материала рекомендуется осуществлять в соответствии с законодательством государства-члена в сфере регулирования транспортировки опасных грузов и международными требованиями Всемирной организации здравоохранения.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рекомендуется повторное замораживание-оттаивание биологического материала.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материал сопровождается соответствующей информацией с учетом требований законодательства государства-члена (дата поступления материала, наименование направившего материал уполномоченного органа, фамилия, имя, отчество (при наличии) и возраст обследуемого лица, регион, откуда прибыло обследуемое лицо, предварительный диагноз или симптомы, вид биологического материала для лабораторной диагностики).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Все биологические материалы, собранные для лабораторной диагностики, рассматриваются как потенциально инфицированные, и медицинский персонал, который собирает их или осуществляет транспортировку, строго соблюдает требования биологической безопасности в соответствии с законодательством государства-члена.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работниками и сотрудниками лабораторий, которые собирают биологический материал, используются соответствующие средства индивидуальной защиты в соответствии с законодательством государства-члена.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Дезинфекцию рабочих зон и обеззараживание возможных разливов инфицированных биологических жидкостей организма рекомендуется проводить в соответствии с утвержденными процедурами с использованием дезинфекционных средств, разрешенных к применению для этих целей в соответствии с инструкцией производителя указанных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материалы утилизируются надлежащим образом в соответствии с законодательством государства-члена.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Информация о результатах проведенной диагностики COVID-19 (включая исследования, проведенные диагностическими методами по определению антигена) предоставляется лабораторией, проводившей исследование, в порядке, установленном в соответствии с законодательством государства-члена.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Обеспечение качества лабораторной диагностики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целях обеспечения качества лабораторной диагностики COVID-19 рекомендуется проводить межлабораторные сличительные испытания (профессиональное тестирование).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качества исследований лаборатории используют контрольные панели, разрешенные к применению в соответствии с законодательством государства-члена.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может проводить выборочные проверки для уточнения результатов лабораторной диагностики COVID-19 с учетом объемов и данных о результативности исследований, проведенных лабораториями.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для инициации выборочных проверок организации лабораторной диагностики COVID-19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положительных результатов, полученных в конкретной лаборатории, выше среднего по региону, области, городу, населенному пункту государства-члена (далее – средний по региону);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положительных результатов, полученных в конкретной лаборатории, ниже среднего по региону при объемах выполненных исследований выше среднего по региону;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тест-систем выше среднего по региону (как показатель проведения большого количества внутренних подтверждающих исследований);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процентов и более положительных результатов в течение рабочей смены (как возможный признак контаминации в лаборатории).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приборов о проведенных исследованиях в любой лаборатории хранятся в первичных протоколах и копируются в базу данных. Подтверждением выполнения исследования является файл в формате производителя прибора для проведения ПЦР, содержащий результаты исследований. В отчете, сформированном с использованием программного обеспечения прибора для проведения ПЦР, содержатся дата и время проведения исследования, наименование теста, данные оператора и результаты тестирования в числовом и графическом отображении. По запросу предоставляются данные, содержащиеся в указанном отчете по конкретному пациенту, а также копия из электронной таблицы.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соответствии с законодательством государства-члена уполномоченный орган государства-члена может с установленной периодичностью проводить проверку результатов лабораторной диагностики COVID-19.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рекомендациям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лабораторной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COVID-19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требований к сбору биологического материала для лабораторной диагностики COVID-19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материал для лабораторной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сбору биологического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 до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из носоглотки и зева (ротоглотки)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пробирки и тампоны для мазков*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&lt;5 дней: 4 °С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 дней**: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носоглоточные и орофарингеальные тампоны рекомендуется поместить в одну пробирку для увеличения вирусной нагрузки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Бронхоальвеолярный лаваж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контейнер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&lt;48 часов: 4 °С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&gt;48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небольшое разведение образца*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Эндотрахеальный аспират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контейнер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&lt;48 часов: 4 °С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&gt;48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контейнер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&lt;48 часов: 4 °С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&gt;48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материал поступает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биопсии или аутопсии, включая легкие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контейнер с транспортной средой*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&lt;24 часов: 4 °С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вируса*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 (две пробы: острая фаза и через 2 недели после острой фазы)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для разделения сыворотки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&lt;48 часов: 4 °С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&gt;48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фаза – первая неделя болезни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Фекальный или ректальный мазок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контейнер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&lt;48 часов: 4 °С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&gt;48 часов**: –70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транспортировки биологического материала используется транспортная среда для хранения и транспортировки респираторных мазков или физиологический раствор (при условии транспортировки до лаборатории не более 24 часов после его взятия) либо сухой зонд-тампон (при условии транспортировки до лаборатории не более 4 часов после его взятия).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При невозможности обеспечить хранение при минус 70 °С – хранить при температуре не выше минус 20 °С.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