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114d" w14:textId="67b1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Руководство по осуществлению взаимодействия между уполномоченными органами государств – членов Евразийского экономического союза и Евразийской экономической комиссией по вопросам подготовки проектов нотификаций для представления во Всемирную торговую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февраля 2022 года № 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обеспечения выполнения государствами – членами Евразийского экономического союза обязательств в части представления во Всемирную торговую организацию нотификаций по мерам регулирования, принимаемым в рамках Евразийского экономического союза,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применять Руководство по осуществлению взаимодействия между уполномоченными органами государств – членов Евразийского экономического союза и Евразийской экономической комиссией по вопросам подготовки проектов нотификаций для представления во Всемирную торговую организацию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21 марта 2017 г. № 8) с учетом изменений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2022 г. № 7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Руководство по осуществлению взаимодействия между уполномоченными органами государств – членов Евразийского экономического союза и Евразийской экономической комиссией по вопросам подготовки проектов нотификаций для представления во Всемирную торговую организацию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абзаце первом пункта 5: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после слов "и направляется уполномоченным органам" дополнить словами ", в том числе";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предложением "В официальном письме указываются ссылки на соответствующие страницы официального сайта Союза, на которых размещены нотифицируемый акт (проект акта) органа Союза и все упомянутые в указанном проекте нотификации акты (проекты актов) органов Союза.".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Пункт 9 дополнить абзацем следующего содержания: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"Структурные подразделения уполномоченных органов государств-членов, являющихся членами ВТО, информируют структурное подразделение Комиссии о факте направления нотификаций в ВТО 2 раза в год (каждое полугодие).".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Пункт 10 изложить в следующей редакции: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Структурные подразделения уполномоченных органов государств-членов в случае получения от членов ВТО запросов (обращений) по направленной государствами-членами в ВТО нотификации уведомляют об этом Комиссию в течение 3 дней с даты их получения.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оказывает координационное содействие структурным подразделениям уполномоченных органов при подготовке проектов ответов на запросы (обращения) членов ВТО.".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приложении к указанному Руководству: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14 в графе четвертой: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"70" заменить цифрами "90";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"или в течение меньшего срока, в зависимости от срока вступления в силу внесенных изменений";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позиции 16 в графе четвертой слова "в течение" заменить словами "не позднее";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позициях 28 и 30 в графе четвертой текст изложить в следующей редакции: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позднее чем за 20 календарных дней до даты начала публичного обсуждения";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дополнить разделом XII следующего содержания: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"XII. Единая система тарифных преференций Союза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Решение Договаривающихся Сторон Генерального соглашения по тарифам и торговле 1947 года L/4903 от 28 ноября 1979 г. (о дифференцированном и более благоприятном режиме, взаимности и более полном участии развивающихся стран),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Генерального совета ВТО WT/L/806 от 14 декабря 2010 г. (в части механизма транспарентности по единой системе тарифных преференций Союза)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до 30 июня года, следующего за годом, в котором были внесены соответствующие изменения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изменениях в документах, устанавливающих условия и порядок применения единой системы тарифных преференций Союза, перечень товаров, происходящих из развивающихся или из наименее развитых стран, в отношении которых при ввозе на таможенную территорию Союза предоставляются тарифные преференции, а также перечни развивающихся и наименее развитых стран – пользователей единой системы тарифных преференций Союза (за исключением технических или незначительных изменений)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4 месяца до вступления в силу внесенных изменений".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