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d1740" w14:textId="8ed17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ежегодном отчете Евразийской экономической комиссии о мониторинге проведения оценки регулирующего воздействия проектов решений Евразийской экономической комиссии в 2021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Евразийского Межправительственного Совета от 21 июня 2022 года № 9.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Приняв к сведению информацию Евразийской экономической комиссии о ежегодном отчете о мониторинге проведения оценки регулирующего воздействия проектов решений Евразийской экономической комиссии в 2021 году: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Евразийской экономической комиссии продолжить работу по совершенствованию процедуры проведения оценки регулирующего воздействия проектов решений Евразийской экономической комиссии и внедрению механизма оценки фактического воздействия принятых решений Евразийской экономической комиссии в рамках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подпунктов 9.1.6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9.1.15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II Стратегических направлений развития евразийской экономической интеграции до 2025 года, утвержденных Решением Высшего Евразийского экономического совета от 11 декабря 2020 г. № 12.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распоряжение вступает в силу с даты его опубликования на официальном сайте Евразийского экономического союза.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Евразийского межправительственного совета: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Беларусь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Кыргызской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Российской 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