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51cb" w14:textId="d095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сентября 2022 года №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 категорий товаров</w:t>
      </w:r>
      <w:r>
        <w:rPr>
          <w:rFonts w:ascii="Times New Roman"/>
          <w:b w:val="false"/>
          <w:i w:val="false"/>
          <w:color w:val="000000"/>
          <w:sz w:val="28"/>
        </w:rPr>
        <w:t>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утвержденный Решением Совета Евразийской экономической комиссии от 20 декабря 2017 г. № 109, дополнить пунктом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Гражданские пассажирские самолеты (коды 8802 40 003 5 и 8802 40 003 6 ТН ВЭД ЕАЭС) при одновременном соблюдении следующих условий: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декларантом выступает иностранное лицо;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самолеты используются в нерегулярных (вне коммерческого расписания) полетах в пределах территории государства – члена Евразийского экономического союза, таможенным органом которого произведен выпуск таких самолетов в соответствии с таможенной процедурой временного ввоза (допуска), для перевозки лиц, входящих в состав делегаций иностранных государств, принимающих участие в выставочно-конгрессных мероприятиях (в том числе международных выставках продукции военного назначения), международных форумах, многосторонних и двусторонних правительственных встречах и иных подобных международных мероприятиях, проводимых по решению главы государства-члена или правительства государства-члена, при наличии письменного подтверждения (в произвольной форме) государственного органа государства-члена, ответственного за организацию и проведение мероприятия.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подтверждение должно содержать сведения о наименовании проводимого мероприятия, сроках его проведения, бортовом (регистрационном) номере самолета и планируемом маршруте воздушной перевозки (пунктах посадки) в пределах территории государства – члена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в пределах территории государства – члена Евразийского экономического союза в соответствии с таможенной процедурой временного ввоза (допуска) без уплаты ввозных таможенных пошлин, налогов таких самолетов должен составлять не более 14 календарных дней со дня помещения под такую таможенную процедуру.".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