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98a4" w14:textId="2039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маркировки сигарет электронных и аналогичных индивидуальных электрических испарительных устройств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23 сентября 2022 года № 152.</w:t>
      </w:r>
    </w:p>
    <w:p>
      <w:pPr>
        <w:spacing w:after="0"/>
        <w:ind w:left="0"/>
        <w:jc w:val="both"/>
      </w:pPr>
      <w:bookmarkStart w:name="z4" w:id="0"/>
      <w:r>
        <w:rPr>
          <w:rFonts w:ascii="Times New Roman"/>
          <w:b w:val="false"/>
          <w:i w:val="false"/>
          <w:color w:val="000000"/>
          <w:sz w:val="28"/>
        </w:rPr>
        <w:t xml:space="preserve">
      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сигарет электронных и аналогичных индивидуальных электрических испарительных устройств (далее – товары) на своей территории в соответствии с настоящим Решением и не позднее чем за 6 месяцев до такой даты уведомляют об этом Евразийскую экономическую комиссию (далее – Комиссия). При этом запрет на ввод в оборот немаркированных товаров не может быть введен ранее сроков, установленных в перечне товаров, подлежащих маркировке средствами идентификации, утвержденном настоящим Решением (далее – перечень).</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w:t>
      </w:r>
    </w:p>
    <w:bookmarkEnd w:id="3"/>
    <w:bookmarkStart w:name="z8" w:id="4"/>
    <w:p>
      <w:pPr>
        <w:spacing w:after="0"/>
        <w:ind w:left="0"/>
        <w:jc w:val="both"/>
      </w:pPr>
      <w:r>
        <w:rPr>
          <w:rFonts w:ascii="Times New Roman"/>
          <w:b w:val="false"/>
          <w:i w:val="false"/>
          <w:color w:val="000000"/>
          <w:sz w:val="28"/>
        </w:rPr>
        <w:t>
      маркировка остатков товаров, включенных в перечень, осуществляется в порядке и сроки, установленные законодательством государства-члена;</w:t>
      </w:r>
    </w:p>
    <w:bookmarkEnd w:id="4"/>
    <w:bookmarkStart w:name="z9" w:id="5"/>
    <w:p>
      <w:pPr>
        <w:spacing w:after="0"/>
        <w:ind w:left="0"/>
        <w:jc w:val="both"/>
      </w:pPr>
      <w:r>
        <w:rPr>
          <w:rFonts w:ascii="Times New Roman"/>
          <w:b w:val="false"/>
          <w:i w:val="false"/>
          <w:color w:val="000000"/>
          <w:sz w:val="28"/>
        </w:rPr>
        <w:t>
      государства-члены при введении маркировки на своей территории могут установить требования о нанесении на товары материального носителя, содержащего элементы (средства) защиты от подделки (далее – защищенный материальный носитель), в случае, если товар в соответствии с законодательством таких государств-членов относится к категории подакцизных товаров. Порядок нанесения, формат и характеристики такого защищенного материального носителя устанавливаются законодательством государств-членов, в которых введены требования о нанесении таких носителей;</w:t>
      </w:r>
    </w:p>
    <w:bookmarkEnd w:id="5"/>
    <w:p>
      <w:pPr>
        <w:spacing w:after="0"/>
        <w:ind w:left="0"/>
        <w:jc w:val="both"/>
      </w:pPr>
      <w:bookmarkStart w:name="z10" w:id="6"/>
      <w:r>
        <w:rPr>
          <w:rFonts w:ascii="Times New Roman"/>
          <w:b w:val="false"/>
          <w:i w:val="false"/>
          <w:color w:val="000000"/>
          <w:sz w:val="28"/>
        </w:rPr>
        <w:t xml:space="preserve">
      средства идентификации могут быть нанесены либо на потребительскую упаковку товаров, либо на защищенный материальный носитель или материальный носитель без защиты </w:t>
      </w:r>
    </w:p>
    <w:bookmarkEnd w:id="6"/>
    <w:p>
      <w:pPr>
        <w:spacing w:after="0"/>
        <w:ind w:left="0"/>
        <w:jc w:val="both"/>
      </w:pPr>
      <w:r>
        <w:rPr>
          <w:rFonts w:ascii="Times New Roman"/>
          <w:b w:val="false"/>
          <w:i w:val="false"/>
          <w:color w:val="000000"/>
          <w:sz w:val="28"/>
        </w:rPr>
        <w:t>(по выбору участника оборота товаров, осуществляющего нанесение средства идентификации);</w:t>
      </w:r>
    </w:p>
    <w:bookmarkStart w:name="z11" w:id="7"/>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bookmarkEnd w:id="7"/>
    <w:bookmarkStart w:name="z12" w:id="8"/>
    <w:p>
      <w:pPr>
        <w:spacing w:after="0"/>
        <w:ind w:left="0"/>
        <w:jc w:val="both"/>
      </w:pPr>
      <w:r>
        <w:rPr>
          <w:rFonts w:ascii="Times New Roman"/>
          <w:b w:val="false"/>
          <w:i w:val="false"/>
          <w:color w:val="000000"/>
          <w:sz w:val="28"/>
        </w:rPr>
        <w:t xml:space="preserve">
      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w:t>
      </w:r>
    </w:p>
    <w:bookmarkEnd w:id="8"/>
    <w:bookmarkStart w:name="z13" w:id="9"/>
    <w:p>
      <w:pPr>
        <w:spacing w:after="0"/>
        <w:ind w:left="0"/>
        <w:jc w:val="both"/>
      </w:pPr>
      <w:r>
        <w:rPr>
          <w:rFonts w:ascii="Times New Roman"/>
          <w:b w:val="false"/>
          <w:i w:val="false"/>
          <w:color w:val="000000"/>
          <w:sz w:val="28"/>
        </w:rPr>
        <w:t xml:space="preserve">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9"/>
    <w:bookmarkStart w:name="z14" w:id="10"/>
    <w:p>
      <w:pPr>
        <w:spacing w:after="0"/>
        <w:ind w:left="0"/>
        <w:jc w:val="both"/>
      </w:pPr>
      <w:r>
        <w:rPr>
          <w:rFonts w:ascii="Times New Roman"/>
          <w:b w:val="false"/>
          <w:i w:val="false"/>
          <w:color w:val="000000"/>
          <w:sz w:val="28"/>
        </w:rPr>
        <w:t>
      ввод в оборот маркированного товара, ввезенного в рамках трансграничной торговли с территории одного государства-члена на территорию государства-члена, в котором в соответствии с его законодательством товар отнесен к категории подакцизных товаров, осуществляется при условии:</w:t>
      </w:r>
    </w:p>
    <w:bookmarkEnd w:id="10"/>
    <w:bookmarkStart w:name="z15" w:id="11"/>
    <w:p>
      <w:pPr>
        <w:spacing w:after="0"/>
        <w:ind w:left="0"/>
        <w:jc w:val="both"/>
      </w:pPr>
      <w:r>
        <w:rPr>
          <w:rFonts w:ascii="Times New Roman"/>
          <w:b w:val="false"/>
          <w:i w:val="false"/>
          <w:color w:val="000000"/>
          <w:sz w:val="28"/>
        </w:rPr>
        <w:t>
      передачи импортером национальному оператору данного государства-члена сведений, подтверждающих полную уплату акциза по ввезенным товарам, если законодательством этого государства-члена не установлено иное;</w:t>
      </w:r>
    </w:p>
    <w:bookmarkEnd w:id="11"/>
    <w:bookmarkStart w:name="z16" w:id="12"/>
    <w:p>
      <w:pPr>
        <w:spacing w:after="0"/>
        <w:ind w:left="0"/>
        <w:jc w:val="both"/>
      </w:pPr>
      <w:r>
        <w:rPr>
          <w:rFonts w:ascii="Times New Roman"/>
          <w:b w:val="false"/>
          <w:i w:val="false"/>
          <w:color w:val="000000"/>
          <w:sz w:val="28"/>
        </w:rPr>
        <w:t>
      наличия на потребительской упаковке защищенного материального носителя и передачи импортером национальному оператору данного государства-члена сведений о таком нанесенном носителе в случае, если на территории этого государства-члена оборот товаров допускается при условии нанесения на их упаковку защищенного материального носителя.</w:t>
      </w:r>
    </w:p>
    <w:bookmarkEnd w:id="12"/>
    <w:bookmarkStart w:name="z17" w:id="13"/>
    <w:p>
      <w:pPr>
        <w:spacing w:after="0"/>
        <w:ind w:left="0"/>
        <w:jc w:val="both"/>
      </w:pPr>
      <w:r>
        <w:rPr>
          <w:rFonts w:ascii="Times New Roman"/>
          <w:b w:val="false"/>
          <w:i w:val="false"/>
          <w:color w:val="000000"/>
          <w:sz w:val="28"/>
        </w:rPr>
        <w:t>
      Нанесение защищенного материального носителя на товары, ввозимые в рамках трансграничной торговли на территорию государства-члена, в котором введено такое требование, обеспечивается импортером до ввоза на территорию этого государства-члена либо на территории этого государства-члена в складских помещениях, определенных законодательством этого государства-члена для маркировки товаров.</w:t>
      </w:r>
    </w:p>
    <w:bookmarkEnd w:id="13"/>
    <w:bookmarkStart w:name="z18" w:id="14"/>
    <w:p>
      <w:pPr>
        <w:spacing w:after="0"/>
        <w:ind w:left="0"/>
        <w:jc w:val="both"/>
      </w:pPr>
      <w:r>
        <w:rPr>
          <w:rFonts w:ascii="Times New Roman"/>
          <w:b w:val="false"/>
          <w:i w:val="false"/>
          <w:color w:val="000000"/>
          <w:sz w:val="28"/>
        </w:rPr>
        <w:t xml:space="preserve">
      Государства-члены, в которых введена маркировка товаров средствами идентификации в соответствии с настоящим Решением и установлены требования о нанесении защищенного материального носителя, в течение 2 лет с даты вступления настоящего Решения в силу рассмотрят вопрос об отмене требований по нанесению такого носителя.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3. Утвердить прилагаемые: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средствах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6"/>
    <w:bookmarkStart w:name="z25" w:id="17"/>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Жумангарин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сентября 2022 г. № 152</w:t>
            </w:r>
          </w:p>
        </w:tc>
      </w:tr>
    </w:tbl>
    <w:bookmarkStart w:name="z27" w:id="18"/>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8"/>
    <w:p>
      <w:pPr>
        <w:spacing w:after="0"/>
        <w:ind w:left="0"/>
        <w:jc w:val="both"/>
      </w:pPr>
      <w:r>
        <w:rPr>
          <w:rFonts w:ascii="Times New Roman"/>
          <w:b w:val="false"/>
          <w:i w:val="false"/>
          <w:color w:val="ff0000"/>
          <w:sz w:val="28"/>
        </w:rPr>
        <w:t xml:space="preserve">
      Сноска. Перечень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введения запрета </w:t>
            </w:r>
          </w:p>
          <w:p>
            <w:pPr>
              <w:spacing w:after="20"/>
              <w:ind w:left="20"/>
              <w:jc w:val="both"/>
            </w:pPr>
            <w:r>
              <w:rPr>
                <w:rFonts w:ascii="Times New Roman"/>
                <w:b w:val="false"/>
                <w:i w:val="false"/>
                <w:color w:val="000000"/>
                <w:sz w:val="20"/>
              </w:rPr>
              <w:t>на ввод в оборот немаркированных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электронные и аналогичные индивидуальные электрические испарительные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2022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сентября 2022 г. № 152 __</w:t>
            </w:r>
          </w:p>
        </w:tc>
      </w:tr>
    </w:tbl>
    <w:bookmarkStart w:name="z29" w:id="19"/>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9"/>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30" w:id="20"/>
    <w:p>
      <w:pPr>
        <w:spacing w:after="0"/>
        <w:ind w:left="0"/>
        <w:jc w:val="both"/>
      </w:pPr>
      <w:r>
        <w:rPr>
          <w:rFonts w:ascii="Times New Roman"/>
          <w:b w:val="false"/>
          <w:i w:val="false"/>
          <w:color w:val="000000"/>
          <w:sz w:val="28"/>
        </w:rPr>
        <w:t>
      1. Настоящий документ разработан в соответствии с подпунктом "а" пункта 1 статьи 5 Соглашения о маркировке товаров средствами идентификации в Евразийском экономическом союзе от 2 февраля 2018 года.</w:t>
      </w:r>
    </w:p>
    <w:bookmarkEnd w:id="20"/>
    <w:bookmarkStart w:name="z31" w:id="21"/>
    <w:p>
      <w:pPr>
        <w:spacing w:after="0"/>
        <w:ind w:left="0"/>
        <w:jc w:val="both"/>
      </w:pPr>
      <w:r>
        <w:rPr>
          <w:rFonts w:ascii="Times New Roman"/>
          <w:b w:val="false"/>
          <w:i w:val="false"/>
          <w:color w:val="000000"/>
          <w:sz w:val="28"/>
        </w:rPr>
        <w:t>
      2. Для маркировки потребительской упаковки товаров, классифицируемых в позиции 8543 40 000 0 единой Товарной номенклатуры внешнеэкономической деятельности Евразийского экономического союза (далее – Союз)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государства-члена Союза.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22"/>
    <w:bookmarkStart w:name="z33" w:id="23"/>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23"/>
    <w:bookmarkStart w:name="z34" w:id="24"/>
    <w:p>
      <w:pPr>
        <w:spacing w:after="0"/>
        <w:ind w:left="0"/>
        <w:jc w:val="both"/>
      </w:pPr>
      <w:r>
        <w:rPr>
          <w:rFonts w:ascii="Times New Roman"/>
          <w:b w:val="false"/>
          <w:i w:val="false"/>
          <w:color w:val="000000"/>
          <w:sz w:val="28"/>
        </w:rPr>
        <w:t xml:space="preserve">
      вторая группа данных (идентификатор применения (21)) -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 </w:t>
      </w:r>
    </w:p>
    <w:bookmarkEnd w:id="24"/>
    <w:bookmarkStart w:name="z35" w:id="25"/>
    <w:p>
      <w:pPr>
        <w:spacing w:after="0"/>
        <w:ind w:left="0"/>
        <w:jc w:val="both"/>
      </w:pPr>
      <w:r>
        <w:rPr>
          <w:rFonts w:ascii="Times New Roman"/>
          <w:b w:val="false"/>
          <w:i w:val="false"/>
          <w:color w:val="000000"/>
          <w:sz w:val="28"/>
        </w:rPr>
        <w:t>
      третья группа (идентификатор применения (91)) - имеет длину до 4-х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25"/>
    <w:bookmarkStart w:name="z36" w:id="26"/>
    <w:p>
      <w:pPr>
        <w:spacing w:after="0"/>
        <w:ind w:left="0"/>
        <w:jc w:val="both"/>
      </w:pPr>
      <w:r>
        <w:rPr>
          <w:rFonts w:ascii="Times New Roman"/>
          <w:b w:val="false"/>
          <w:i w:val="false"/>
          <w:color w:val="000000"/>
          <w:sz w:val="28"/>
        </w:rPr>
        <w:t>
      четвертая группа данных (идентификатор применения (92)) – имеет длину до 44 символов (цифр, строчных и прописных букв латинского алфавита, а также специальных символов).</w:t>
      </w:r>
    </w:p>
    <w:bookmarkEnd w:id="26"/>
    <w:bookmarkStart w:name="z37" w:id="27"/>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7"/>
    <w:bookmarkStart w:name="z38" w:id="28"/>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 – членов Союза или участниками оборота товаров.</w:t>
      </w:r>
    </w:p>
    <w:bookmarkEnd w:id="28"/>
    <w:bookmarkStart w:name="z39" w:id="29"/>
    <w:p>
      <w:pPr>
        <w:spacing w:after="0"/>
        <w:ind w:left="0"/>
        <w:jc w:val="both"/>
      </w:pPr>
      <w:r>
        <w:rPr>
          <w:rFonts w:ascii="Times New Roman"/>
          <w:b w:val="false"/>
          <w:i w:val="false"/>
          <w:color w:val="000000"/>
          <w:sz w:val="28"/>
        </w:rPr>
        <w:t>
      5. Товары маркируются путем нанесения средства идентификации, либо материальных носителей (защищенных, либо без защиты), содержащих средство идентификации, на потребительскую упаковку способом, не допускающим их отделения от потребительской упаковки без повреждений. Средство идентификации не может наноситься на конструктивно отделяемые без повреждений части потребительской упаковки.</w:t>
      </w:r>
    </w:p>
    <w:bookmarkEnd w:id="29"/>
    <w:bookmarkStart w:name="z40" w:id="30"/>
    <w:p>
      <w:pPr>
        <w:spacing w:after="0"/>
        <w:ind w:left="0"/>
        <w:jc w:val="both"/>
      </w:pPr>
      <w:r>
        <w:rPr>
          <w:rFonts w:ascii="Times New Roman"/>
          <w:b w:val="false"/>
          <w:i w:val="false"/>
          <w:color w:val="000000"/>
          <w:sz w:val="28"/>
        </w:rPr>
        <w:t xml:space="preserve">
      6.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 которое содержит код идентификации транспортной упаковки, с агрегированием средств идентификации товаров, помещенных в такую упаковку. </w:t>
      </w:r>
    </w:p>
    <w:bookmarkEnd w:id="30"/>
    <w:bookmarkStart w:name="z41" w:id="31"/>
    <w:p>
      <w:pPr>
        <w:spacing w:after="0"/>
        <w:ind w:left="0"/>
        <w:jc w:val="both"/>
      </w:pPr>
      <w:r>
        <w:rPr>
          <w:rFonts w:ascii="Times New Roman"/>
          <w:b w:val="false"/>
          <w:i w:val="false"/>
          <w:color w:val="000000"/>
          <w:sz w:val="28"/>
        </w:rPr>
        <w:t xml:space="preserve">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w:t>
      </w:r>
    </w:p>
    <w:bookmarkEnd w:id="31"/>
    <w:bookmarkStart w:name="z42" w:id="32"/>
    <w:p>
      <w:pPr>
        <w:spacing w:after="0"/>
        <w:ind w:left="0"/>
        <w:jc w:val="both"/>
      </w:pPr>
      <w:r>
        <w:rPr>
          <w:rFonts w:ascii="Times New Roman"/>
          <w:b w:val="false"/>
          <w:i w:val="false"/>
          <w:color w:val="000000"/>
          <w:sz w:val="28"/>
        </w:rPr>
        <w:t>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23 сентября 2022 г. № 152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44" w:id="33"/>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33"/>
    <w:p>
      <w:pPr>
        <w:spacing w:after="0"/>
        <w:ind w:left="0"/>
        <w:jc w:val="both"/>
      </w:pPr>
      <w:r>
        <w:rPr>
          <w:rFonts w:ascii="Times New Roman"/>
          <w:b w:val="false"/>
          <w:i w:val="false"/>
          <w:color w:val="ff0000"/>
          <w:sz w:val="28"/>
        </w:rPr>
        <w:t xml:space="preserve">
      Сноска. Требования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45"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позиции 8543 40 000 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в XML-формате в соответствии со следующими стандартами:</w:t>
      </w:r>
    </w:p>
    <w:bookmarkEnd w:id="34"/>
    <w:bookmarkStart w:name="z820" w:id="35"/>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5"/>
    <w:bookmarkStart w:name="z821" w:id="36"/>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6"/>
    <w:bookmarkStart w:name="z822" w:id="37"/>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37"/>
    <w:bookmarkStart w:name="z823" w:id="38"/>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позиции 8543 40 000 0 ТН ВЭД ЕАЭС, и правил формирования реквизита "Блок данных средства идентификации", указанных в таблицах 1 – 3 настоящих требований.</w:t>
      </w:r>
    </w:p>
    <w:bookmarkEnd w:id="38"/>
    <w:bookmarkStart w:name="z824" w:id="39"/>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9"/>
    <w:bookmarkStart w:name="z825" w:id="40"/>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40"/>
    <w:p>
      <w:pPr>
        <w:spacing w:after="0"/>
        <w:ind w:left="0"/>
        <w:jc w:val="both"/>
      </w:pPr>
      <w:r>
        <w:rPr>
          <w:rFonts w:ascii="Times New Roman"/>
          <w:b w:val="false"/>
          <w:i w:val="false"/>
          <w:color w:val="000000"/>
          <w:sz w:val="28"/>
        </w:rPr>
        <w:t>
      Таблица 1</w:t>
      </w:r>
    </w:p>
    <w:bookmarkStart w:name="z826" w:id="41"/>
    <w:p>
      <w:pPr>
        <w:spacing w:after="0"/>
        <w:ind w:left="0"/>
        <w:jc w:val="left"/>
      </w:pPr>
      <w:r>
        <w:rPr>
          <w:rFonts w:ascii="Times New Roman"/>
          <w:b/>
          <w:i w:val="false"/>
          <w:color w:val="000000"/>
        </w:rPr>
        <w:t xml:space="preserve"> Перечень сведений о характеристиках товара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Зарядное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зарядного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типе зарядного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никотинсодержащей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каким типом продукции используется: жидкость, табачная палочка, комбинированный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Таблица 2</w:t>
      </w:r>
    </w:p>
    <w:bookmarkStart w:name="z827" w:id="42"/>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позиции 8543 40 000 0 </w:t>
      </w:r>
      <w:r>
        <w:br/>
      </w:r>
      <w:r>
        <w:rPr>
          <w:rFonts w:ascii="Times New Roman"/>
          <w:b/>
          <w:i w:val="false"/>
          <w:color w:val="000000"/>
        </w:rPr>
        <w:t>ТН ВЭД ЕАЭС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3"/>
          <w:p>
            <w:pPr>
              <w:spacing w:after="20"/>
              <w:ind w:left="20"/>
              <w:jc w:val="both"/>
            </w:pPr>
            <w:r>
              <w:rPr>
                <w:rFonts w:ascii="Times New Roman"/>
                <w:b w:val="false"/>
                <w:i w:val="false"/>
                <w:color w:val="000000"/>
                <w:sz w:val="20"/>
              </w:rPr>
              <w:t xml:space="preserve">
Серийный код транспортной упаковки (тары) – </w:t>
            </w:r>
          </w:p>
          <w:bookmarkEnd w:id="43"/>
          <w:p>
            <w:pPr>
              <w:spacing w:after="20"/>
              <w:ind w:left="20"/>
              <w:jc w:val="both"/>
            </w:pPr>
            <w:r>
              <w:rPr>
                <w:rFonts w:ascii="Times New Roman"/>
                <w:b w:val="false"/>
                <w:i w:val="false"/>
                <w:color w:val="000000"/>
                <w:sz w:val="20"/>
              </w:rPr>
              <w:t>
SSCC (Serial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4"/>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bookmarkEnd w:id="4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5"/>
          <w:p>
            <w:pPr>
              <w:spacing w:after="20"/>
              <w:ind w:left="20"/>
              <w:jc w:val="both"/>
            </w:pPr>
            <w:r>
              <w:rPr>
                <w:rFonts w:ascii="Times New Roman"/>
                <w:b w:val="false"/>
                <w:i w:val="false"/>
                <w:color w:val="000000"/>
                <w:sz w:val="20"/>
              </w:rPr>
              <w:t xml:space="preserve">
Глобальный идентификационный номер единицы товара – </w:t>
            </w:r>
          </w:p>
          <w:bookmarkEnd w:id="45"/>
          <w:p>
            <w:pPr>
              <w:spacing w:after="20"/>
              <w:ind w:left="20"/>
              <w:jc w:val="both"/>
            </w:pPr>
            <w:r>
              <w:rPr>
                <w:rFonts w:ascii="Times New Roman"/>
                <w:b w:val="false"/>
                <w:i w:val="false"/>
                <w:color w:val="000000"/>
                <w:sz w:val="20"/>
              </w:rPr>
              <w:t>
GTIN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6"/>
          <w:p>
            <w:pPr>
              <w:spacing w:after="20"/>
              <w:ind w:left="20"/>
              <w:jc w:val="both"/>
            </w:pPr>
            <w:r>
              <w:rPr>
                <w:rFonts w:ascii="Times New Roman"/>
                <w:b w:val="false"/>
                <w:i w:val="false"/>
                <w:color w:val="000000"/>
                <w:sz w:val="20"/>
              </w:rPr>
              <w:t xml:space="preserve">
GTIN (Global Trade Item Number) – </w:t>
            </w:r>
          </w:p>
          <w:bookmarkEnd w:id="46"/>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7"/>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bookmarkEnd w:id="4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8"/>
          <w:p>
            <w:pPr>
              <w:spacing w:after="20"/>
              <w:ind w:left="20"/>
              <w:jc w:val="both"/>
            </w:pPr>
            <w:r>
              <w:rPr>
                <w:rFonts w:ascii="Times New Roman"/>
                <w:b w:val="false"/>
                <w:i w:val="false"/>
                <w:color w:val="000000"/>
                <w:sz w:val="20"/>
              </w:rPr>
              <w:t>
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bookmarkEnd w:id="48"/>
          <w:p>
            <w:pPr>
              <w:spacing w:after="20"/>
              <w:ind w:left="20"/>
              <w:jc w:val="both"/>
            </w:pPr>
            <w:r>
              <w:rPr>
                <w:rFonts w:ascii="Times New Roman"/>
                <w:b w:val="false"/>
                <w:i w:val="false"/>
                <w:color w:val="000000"/>
                <w:sz w:val="20"/>
              </w:rPr>
              <w:t>
Пояснение: для целей идентификации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не передается в сведениях 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9"/>
          <w:p>
            <w:pPr>
              <w:spacing w:after="20"/>
              <w:ind w:left="20"/>
              <w:jc w:val="both"/>
            </w:pPr>
            <w:r>
              <w:rPr>
                <w:rFonts w:ascii="Times New Roman"/>
                <w:b w:val="false"/>
                <w:i w:val="false"/>
                <w:color w:val="000000"/>
                <w:sz w:val="20"/>
              </w:rPr>
              <w:t xml:space="preserve">
значение кода проверки, создаваемого </w:t>
            </w:r>
          </w:p>
          <w:bookmarkEnd w:id="49"/>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bl>
    <w:p>
      <w:pPr>
        <w:spacing w:after="0"/>
        <w:ind w:left="0"/>
        <w:jc w:val="both"/>
      </w:pPr>
      <w:r>
        <w:rPr>
          <w:rFonts w:ascii="Times New Roman"/>
          <w:b w:val="false"/>
          <w:i w:val="false"/>
          <w:color w:val="000000"/>
          <w:sz w:val="28"/>
        </w:rPr>
        <w:t>
      Таблица 3</w:t>
      </w:r>
    </w:p>
    <w:bookmarkStart w:name="z835" w:id="50"/>
    <w:p>
      <w:pPr>
        <w:spacing w:after="0"/>
        <w:ind w:left="0"/>
        <w:jc w:val="left"/>
      </w:pPr>
      <w:r>
        <w:rPr>
          <w:rFonts w:ascii="Times New Roman"/>
          <w:b/>
          <w:i w:val="false"/>
          <w:color w:val="000000"/>
        </w:rPr>
        <w:t xml:space="preserve"> Правила формирования реквизита "Блок данных средств идентификации"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1"/>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первому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 второму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2"/>
          <w:p>
            <w:pPr>
              <w:spacing w:after="20"/>
              <w:ind w:left="20"/>
              <w:jc w:val="both"/>
            </w:pPr>
            <w:r>
              <w:rPr>
                <w:rFonts w:ascii="Times New Roman"/>
                <w:b w:val="false"/>
                <w:i w:val="false"/>
                <w:color w:val="000000"/>
                <w:sz w:val="20"/>
              </w:rPr>
              <w:t>
101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3"/>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реквизита "Идентификатор применения (AI)": "00" или иное значение реквизита в соответствии с международными стандартами GS1 </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w:t>
            </w:r>
            <w:r>
              <w:rPr>
                <w:rFonts w:ascii="Times New Roman"/>
                <w:b/>
                <w:i w:val="false"/>
                <w:color w:val="000000"/>
                <w:sz w:val="20"/>
              </w:rPr>
              <w:t>),</w:t>
            </w:r>
            <w:r>
              <w:rPr>
                <w:rFonts w:ascii="Times New Roman"/>
                <w:b w:val="false"/>
                <w:i w:val="false"/>
                <w:color w:val="000000"/>
                <w:sz w:val="20"/>
              </w:rPr>
              <w:t xml:space="preserve">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сентября 2022 г. № 152</w:t>
            </w:r>
          </w:p>
        </w:tc>
      </w:tr>
    </w:tbl>
    <w:bookmarkStart w:name="z134" w:id="54"/>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54"/>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35" w:id="55"/>
    <w:p>
      <w:pPr>
        <w:spacing w:after="0"/>
        <w:ind w:left="0"/>
        <w:jc w:val="both"/>
      </w:pPr>
      <w:r>
        <w:rPr>
          <w:rFonts w:ascii="Times New Roman"/>
          <w:b w:val="false"/>
          <w:i w:val="false"/>
          <w:color w:val="000000"/>
          <w:sz w:val="28"/>
        </w:rPr>
        <w:t>
      1. Глобальный номер торговой единицы (Global Trade Item Number (GTIN)).</w:t>
      </w:r>
    </w:p>
    <w:bookmarkEnd w:id="55"/>
    <w:bookmarkStart w:name="z136" w:id="56"/>
    <w:p>
      <w:pPr>
        <w:spacing w:after="0"/>
        <w:ind w:left="0"/>
        <w:jc w:val="both"/>
      </w:pPr>
      <w:r>
        <w:rPr>
          <w:rFonts w:ascii="Times New Roman"/>
          <w:b w:val="false"/>
          <w:i w:val="false"/>
          <w:color w:val="000000"/>
          <w:sz w:val="28"/>
        </w:rPr>
        <w:t>
      2. Индивидуальный серийный номер единицы товара (SN).</w:t>
      </w:r>
    </w:p>
    <w:bookmarkEnd w:id="56"/>
    <w:bookmarkStart w:name="z137" w:id="57"/>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57"/>
    <w:bookmarkStart w:name="z138" w:id="58"/>
    <w:p>
      <w:pPr>
        <w:spacing w:after="0"/>
        <w:ind w:left="0"/>
        <w:jc w:val="both"/>
      </w:pPr>
      <w:r>
        <w:rPr>
          <w:rFonts w:ascii="Times New Roman"/>
          <w:b w:val="false"/>
          <w:i w:val="false"/>
          <w:color w:val="000000"/>
          <w:sz w:val="28"/>
        </w:rPr>
        <w:t>
      4. Наименование товара на этикетке.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9" w:id="59"/>
    <w:p>
      <w:pPr>
        <w:spacing w:after="0"/>
        <w:ind w:left="0"/>
        <w:jc w:val="both"/>
      </w:pPr>
      <w:r>
        <w:rPr>
          <w:rFonts w:ascii="Times New Roman"/>
          <w:b w:val="false"/>
          <w:i w:val="false"/>
          <w:color w:val="000000"/>
          <w:sz w:val="28"/>
        </w:rPr>
        <w:t>
      5. Товарный знак/Бренд.</w:t>
      </w:r>
    </w:p>
    <w:bookmarkEnd w:id="59"/>
    <w:bookmarkStart w:name="z140" w:id="60"/>
    <w:p>
      <w:pPr>
        <w:spacing w:after="0"/>
        <w:ind w:left="0"/>
        <w:jc w:val="both"/>
      </w:pPr>
      <w:r>
        <w:rPr>
          <w:rFonts w:ascii="Times New Roman"/>
          <w:b w:val="false"/>
          <w:i w:val="false"/>
          <w:color w:val="000000"/>
          <w:sz w:val="28"/>
        </w:rPr>
        <w:t>
      6. Зарядное устройство.</w:t>
      </w:r>
    </w:p>
    <w:bookmarkEnd w:id="60"/>
    <w:bookmarkStart w:name="z141" w:id="61"/>
    <w:p>
      <w:pPr>
        <w:spacing w:after="0"/>
        <w:ind w:left="0"/>
        <w:jc w:val="both"/>
      </w:pPr>
      <w:r>
        <w:rPr>
          <w:rFonts w:ascii="Times New Roman"/>
          <w:b w:val="false"/>
          <w:i w:val="false"/>
          <w:color w:val="000000"/>
          <w:sz w:val="28"/>
        </w:rPr>
        <w:t>
      7. Тип никотинсодержащей продукции.</w:t>
      </w:r>
    </w:p>
    <w:bookmarkEnd w:id="61"/>
    <w:bookmarkStart w:name="z142" w:id="62"/>
    <w:p>
      <w:pPr>
        <w:spacing w:after="0"/>
        <w:ind w:left="0"/>
        <w:jc w:val="both"/>
      </w:pPr>
      <w:r>
        <w:rPr>
          <w:rFonts w:ascii="Times New Roman"/>
          <w:b w:val="false"/>
          <w:i w:val="false"/>
          <w:color w:val="000000"/>
          <w:sz w:val="28"/>
        </w:rPr>
        <w:t>
      8. Страна происхождения товара.</w:t>
      </w:r>
    </w:p>
    <w:bookmarkEnd w:id="62"/>
    <w:bookmarkStart w:name="z143" w:id="63"/>
    <w:p>
      <w:pPr>
        <w:spacing w:after="0"/>
        <w:ind w:left="0"/>
        <w:jc w:val="both"/>
      </w:pPr>
      <w:r>
        <w:rPr>
          <w:rFonts w:ascii="Times New Roman"/>
          <w:b w:val="false"/>
          <w:i w:val="false"/>
          <w:color w:val="000000"/>
          <w:sz w:val="28"/>
        </w:rPr>
        <w:t>
      9.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4" w:id="64"/>
    <w:p>
      <w:pPr>
        <w:spacing w:after="0"/>
        <w:ind w:left="0"/>
        <w:jc w:val="both"/>
      </w:pPr>
      <w:r>
        <w:rPr>
          <w:rFonts w:ascii="Times New Roman"/>
          <w:b w:val="false"/>
          <w:i w:val="false"/>
          <w:color w:val="000000"/>
          <w:sz w:val="28"/>
        </w:rPr>
        <w:t>
      10. 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5" w:id="65"/>
    <w:p>
      <w:pPr>
        <w:spacing w:after="0"/>
        <w:ind w:left="0"/>
        <w:jc w:val="both"/>
      </w:pPr>
      <w:r>
        <w:rPr>
          <w:rFonts w:ascii="Times New Roman"/>
          <w:b w:val="false"/>
          <w:i w:val="false"/>
          <w:color w:val="000000"/>
          <w:sz w:val="28"/>
        </w:rPr>
        <w:t>
      11.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