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2bf" w14:textId="113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продукции, предназначенной для детей и подростков" (ТР ТС 007/2011)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продукции, предназначенной для детей и подростков" (ТР ТС 007/2011), принятый Решением Комиссии Таможенного союза от 23 сентября 2011 г. № 797,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2.1Настоящее Решение вступает в силу по истечении 180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г. № 147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продукции, предназначенной для детей и подростков" (ТР ТС 007/2011)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абзаце первом слова ", независимо от страны происхождения"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абзац третий после слов "галантерейные изделия," дополнить словами "изделия санитарно-гигиенические разового использования,".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седьмой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девятого дополнить абзацем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"изделия эпизодического использования – изделия, предназначенные для непрерывной носки в течение не более 4 часов не более 2 раз в неделю с указанием соответствующей информации на маркировке изделия;".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"рукавицы" дополнить словами "(кроме кожаных)", после слова "перчатки" дополнить словами "(кроме кожаных)";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"(не определяется гигроскопичность отделочных деталей и деталей верха изделий 2-го слоя, не имеющих непосредственного контакта с кожей пользователя, если они предназначены для декоративного оформления верха изделия; в одежде и изделиях на подкладке гигроскопичность определяется отдельно для материала верха и для подкладки)";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дополнить словами "(в одежде и изделиях на подкладке определяется отдельно для материала верха и для подкладки)";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проводятся испытания по показателю "воздухопроницаемость" в изделиях, которые по конструкции (сарафаны, юбки, жилеты, шорты) или структуре материала (с рыхлым плетением, ажурные) предполагают высокую воздухопроницаемость, а также в изделиях, имеющих конструктивные элементы для обеспечения воздухообмена.".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из искусственного меха (кроме искусственного меха с вложением шерстяного волокна в ворсе не менее 80 %) и байки в зимней обуви для детей ясельного возраста.".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слово "дистрибьютора" заменить словом "продавца".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слово "дистрибьютор" заменить словом "продавец".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 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слово "трусы" заменить словами "подгузники-трусы (трусики)".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2 в графе 2 слово ", стульчик" исключить;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позиции 3 в графе 2 слово "трусы" заменить словами "подгузники-трусы (трусики)";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позиции 10 в графе 1 слово "спортивной," исключить.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"О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предназначенной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подростков"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г. № 147)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биологической безопасности, предъявляемые </w:t>
      </w:r>
      <w:r>
        <w:br/>
      </w:r>
      <w:r>
        <w:rPr>
          <w:rFonts w:ascii="Times New Roman"/>
          <w:b/>
          <w:i w:val="false"/>
          <w:color w:val="000000"/>
        </w:rPr>
        <w:t>к щеткам зубным, массажерам для десен и аналогичным изделиям для ухода за полостью рта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показателя,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Токсикологические показатели1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токсичность при пероральном введении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5000 мг/кг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на слизистые оболочки экспериментальных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раздражающего действия – 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сенсибилизирующее 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эффекта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общетоксическое действие, определяемое альтернативными методами in vitro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местнораздражающее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аллергизирующее 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при однократном использовании 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часов и при двукратном ежедневном использовании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72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очищающее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для зубных щеток)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индекса гигиены полости рта по Грин-Вермиллиону не менее чем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40 % от первоначального значения при однократной контрольной чистке зубов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 Исследования токсикологических показателей проводятся на водных модельных вытяжках из соответствующих изделий. Токсикологическая оценка проводится путем испытания с использованием лабораторных животных (in vivo) либо альтернативными методами (in vitro).".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дополнить примечаниями 3 и 4 следующего содержания: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одежде и изделиях 2-го слоя на подкладке гигроскопичность и воздухопроницаемость определяются отдельно для материала верха и для материала подкладки.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Для детей старше 1 года и подростков не определяется гигроскопичность отделочных деталей и деталей верха изделий 2-го слоя, не имеющих непосредственного контакта или имеющих ограниченный контакт (до 10 % площади верха изделия) с кожей пользователя, если они предназначены для декоративного оформления верха изделия.".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Позицию "Одежда 2-го слоя и швейные изделия" </w:t>
      </w:r>
      <w:r>
        <w:rPr>
          <w:rFonts w:ascii="Times New Roman"/>
          <w:b w:val="false"/>
          <w:i w:val="false"/>
          <w:color w:val="000000"/>
          <w:sz w:val="28"/>
        </w:rPr>
        <w:t>приложения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2-го слоя и швейные изделия: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&lt;4&gt;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&lt;3&gt;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"До 1 года (пинетки: размеры, мм: 95, 100, 105, 110, 115, 120, 125)", "От 1 года до 3 лет (для ясельного возраста: размеры, мм: 105, 110, 115, 120, 125, 130, 135, 140)", "От 3 до 5 лет (малодетская: размеры, мм: 145, 150, 155, 160, 165)" и "От 5 до 7 лет (дошкольная: размеры, мм: 170, 175, 180, 185, 190, 195, 200)"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(пинетки: размеры, мм: 95,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100, 105, 110, 115, 120, 125)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полупары обуви, г: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пинетки (кроме зимних)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пинетки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до 3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ясельного возраста: размеры, мм: 105, 110, 115, 120, 125, 130, 135, 140)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полупары обуви, г: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зимней и весенне-осенней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гибкость, Н/см (Н) (кроме зимних)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каблука обуви, 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летней и домашней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зимней и весенне-осенней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220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 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5 лет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(малодетская: размеры,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мм: 145, 150, 155, 160, 165)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полупары обуви, г: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зимней и весенне-осенней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гибкость, Н/см (Н) (кроме зимних)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каблука,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11 (100)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7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(дошкольная: размеры, мм:170, 175, 180, 185, 190, 195,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полупары обуви, г: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зимней и весенне-осенней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гибкость, Н/см (Н) (кроме зимних)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каблука,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380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11 (100)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5 следующего содержания:</w:t>
      </w:r>
    </w:p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 Испытания обуви зимней по показателю "гибкость" до установления нормативного значения не проводятся.".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