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9c23" w14:textId="6869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специального упрощения, предоставляемого уполномоченным экономическим операторам</w:t>
      </w:r>
    </w:p>
    <w:p>
      <w:pPr>
        <w:spacing w:after="0"/>
        <w:ind w:left="0"/>
        <w:jc w:val="both"/>
      </w:pPr>
      <w:r>
        <w:rPr>
          <w:rFonts w:ascii="Times New Roman"/>
          <w:b w:val="false"/>
          <w:i w:val="false"/>
          <w:color w:val="000000"/>
          <w:sz w:val="28"/>
        </w:rPr>
        <w:t>Решение Совета Евразийской экономической комиссии от 15 июля 2022 года № 114.</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437 Таможенного кодекса Евразийского экономического союза и </w:t>
      </w:r>
      <w:r>
        <w:rPr>
          <w:rFonts w:ascii="Times New Roman"/>
          <w:b w:val="false"/>
          <w:i w:val="false"/>
          <w:color w:val="000000"/>
          <w:sz w:val="28"/>
        </w:rPr>
        <w:t>пунктом 12929</w:t>
      </w:r>
      <w:r>
        <w:rPr>
          <w:rFonts w:ascii="Times New Roman"/>
          <w:b w:val="false"/>
          <w:i w:val="false"/>
          <w:color w:val="000000"/>
          <w:vertAlign w:val="superscript"/>
        </w:rPr>
        <w:t xml:space="preserve"> </w:t>
      </w:r>
      <w:r>
        <w:rPr>
          <w:rFonts w:ascii="Times New Roman"/>
          <w:b w:val="false"/>
          <w:i w:val="false"/>
          <w:color w:val="000000"/>
          <w:sz w:val="28"/>
        </w:rPr>
        <w:t xml:space="preserve">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i w:val="false"/>
          <w:color w:val="000000"/>
          <w:sz w:val="28"/>
        </w:rPr>
        <w:t>:</w:t>
      </w:r>
    </w:p>
    <w:bookmarkStart w:name="z5" w:id="0"/>
    <w:p>
      <w:pPr>
        <w:spacing w:after="0"/>
        <w:ind w:left="0"/>
        <w:jc w:val="both"/>
      </w:pPr>
      <w:r>
        <w:rPr>
          <w:rFonts w:ascii="Times New Roman"/>
          <w:b w:val="false"/>
          <w:i w:val="false"/>
          <w:color w:val="000000"/>
          <w:sz w:val="28"/>
        </w:rPr>
        <w:t>
      1. Определить, что свидетельство второго или третьего типа дает право уполномоченным экономическим операторам пользоваться таким специальным упрощением, как совершение операций по маркировке средствами идентификации находящихся на временном хранении иностранных товаров уполномоченных экономических операторов без разрешения таможенного органа, если иное не установлено законодательством государств – членов Евразийского экономического союза.</w:t>
      </w:r>
    </w:p>
    <w:bookmarkEnd w:id="0"/>
    <w:p>
      <w:pPr>
        <w:spacing w:after="0"/>
        <w:ind w:left="0"/>
        <w:jc w:val="both"/>
      </w:pPr>
      <w:bookmarkStart w:name="z6" w:id="1"/>
      <w:r>
        <w:rPr>
          <w:rFonts w:ascii="Times New Roman"/>
          <w:b w:val="false"/>
          <w:i w:val="false"/>
          <w:color w:val="000000"/>
          <w:sz w:val="28"/>
        </w:rPr>
        <w:t>
      2. Настоящее Решение вступает в силу по истечении</w:t>
      </w:r>
    </w:p>
    <w:bookmarkEnd w:id="1"/>
    <w:p>
      <w:pPr>
        <w:spacing w:after="0"/>
        <w:ind w:left="0"/>
        <w:jc w:val="both"/>
      </w:pPr>
      <w:r>
        <w:rPr>
          <w:rFonts w:ascii="Times New Roman"/>
          <w:b w:val="false"/>
          <w:i w:val="false"/>
          <w:color w:val="000000"/>
          <w:sz w:val="28"/>
        </w:rPr>
        <w:t>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Члены Совета Евразийской экономической комиссии: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Армения</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Беларусь</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Казахстан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Кыргызской Республики</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Российской Федерации</w:t>
                  </w:r>
                  <w:r>
                    <w:rPr>
                      <w:rFonts w:ascii="Times New Roman"/>
                      <w:b w:val="false"/>
                      <w:i w:val="false"/>
                      <w:color w:val="000000"/>
                      <w:sz w:val="20"/>
                    </w:rPr>
                    <w:t>
</w:t>
                  </w:r>
                </w:p>
              </w:tc>
            </w:tr>
          </w:tbl>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Григорян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Петришенко</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Касымалиев</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Оверчук</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