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a00d" w14:textId="45da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27 ноября 2009 г. № 130 в отношении отдельных видов гражданских пассажирских самолетов</w:t>
      </w:r>
    </w:p>
    <w:p>
      <w:pPr>
        <w:spacing w:after="0"/>
        <w:ind w:left="0"/>
        <w:jc w:val="both"/>
      </w:pPr>
      <w:r>
        <w:rPr>
          <w:rFonts w:ascii="Times New Roman"/>
          <w:b w:val="false"/>
          <w:i w:val="false"/>
          <w:color w:val="000000"/>
          <w:sz w:val="28"/>
        </w:rPr>
        <w:t>Решение Совета Евразийской экономической комиссии от 10 июня 2022 года № 94.</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пунктом 16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пунктом 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следующие изменения:</w:t>
      </w:r>
    </w:p>
    <w:bookmarkEnd w:id="1"/>
    <w:bookmarkStart w:name="z6" w:id="2"/>
    <w:p>
      <w:pPr>
        <w:spacing w:after="0"/>
        <w:ind w:left="0"/>
        <w:jc w:val="both"/>
      </w:pPr>
      <w:r>
        <w:rPr>
          <w:rFonts w:ascii="Times New Roman"/>
          <w:b w:val="false"/>
          <w:i w:val="false"/>
          <w:color w:val="000000"/>
          <w:sz w:val="28"/>
        </w:rPr>
        <w:t>
      а) </w:t>
      </w:r>
      <w:r>
        <w:rPr>
          <w:rFonts w:ascii="Times New Roman"/>
          <w:b w:val="false"/>
          <w:i w:val="false"/>
          <w:color w:val="000000"/>
          <w:sz w:val="28"/>
        </w:rPr>
        <w:t>подпункт 7.1.13</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"7.1.13.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bookmarkEnd w:id="3"/>
    <w:bookmarkStart w:name="z8" w:id="4"/>
    <w:p>
      <w:pPr>
        <w:spacing w:after="0"/>
        <w:ind w:left="0"/>
        <w:jc w:val="both"/>
      </w:pPr>
      <w:r>
        <w:rPr>
          <w:rFonts w:ascii="Times New Roman"/>
          <w:b w:val="false"/>
          <w:i w:val="false"/>
          <w:color w:val="000000"/>
          <w:sz w:val="28"/>
        </w:rPr>
        <w:t>
      б) </w:t>
      </w:r>
      <w:r>
        <w:rPr>
          <w:rFonts w:ascii="Times New Roman"/>
          <w:b w:val="false"/>
          <w:i w:val="false"/>
          <w:color w:val="000000"/>
          <w:sz w:val="28"/>
        </w:rPr>
        <w:t>подпункт 7.1.20</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"7.1.20.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bookmarkEnd w:id="5"/>
    <w:bookmarkStart w:name="z10" w:id="6"/>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Кожошев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