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5587" w14:textId="0295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авиационных двигателей, запасных частей и оборудования, необходимых для ремонта и (или) технического обслуживания гражданских грузовых самолетов и (или) авиационных двигателей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апреля 2022 года № 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Подпункт 7.1.15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г. № 130 "О едином таможенно-тарифном регулировании Евразийского экономического союза" после слов "гражданских пассажирских" дополнить словами "и (или) гражданских грузовых".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тексту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после слов "гражданских пассажирских" дополнить словами "и (или) гражданских грузовых".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Настоящее Решение вступает в силу по истечении 10 календарных дней с даты его официального опубликования.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