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5587" w14:textId="02955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 в отношении авиационных двигателей, запасных частей и оборудования, необходимых для ремонта и (или) технического обслуживания гражданских грузовых самолетов и (или) авиационных двигателей к 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15 апреля 2022 года № 74.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Подпункт 7.1.15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Решения Комиссии Таможенного союза от 27 ноября 2009 г. № 130 "О едином таможенно-тарифном регулировании Евразийского экономического союза" после слов "гражданских пассажирских" дополнить словами "и (или) гражданских грузовых".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 тексту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применения освобождения от уплаты таможенных пошлин при ввозе отдельных категорий товаров на единую таможенную территорию Таможенного союза, утвержденного Решением Комиссии Таможенного союза от 15 июля 2011 г. № 728, после слов "гражданских пассажирских" дополнить словами "и (или) гражданских грузовых".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 Настоящее Решение вступает в силу по истечении 10 календарных дней с даты его официального опубликования.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Б. Султанов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Кожошев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