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651" w14:textId="7191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актуальных направлениях научно-исследовательских работ в области стандартизации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января 2022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4.4.2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 г. № 4, в целях обеспечения проведения Евразийской экономической комиссией (далее – Комиссия) и государствами – членами Евразийского экономического союза (далее – государства-члены) научно-исследовательских работ в области стандартизации и метрологии в 2022 – 2025 годах: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 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актуальных направлений научно-исследовательских работ в области стандартизации и метрологии (далее – перечень актуальных направлений).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 Комиссии совместно с правительствами государств-членов обеспечить в соответствии с перечнем актуальных направлений подготовку предложений по проведению научно-исследовательских работ в области стандартизации и метрологии для включения в ежегодные планы научно-исследовательских работ Комиссии в пределах общих расходов на финансирование исследовательской деятельности Комиссии, предусматриваемых в бюджете Евразийского экономического союза на соответствующий финансовый год.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 Просить правительства государств-членов учитывать перечень актуальных направлений при планировании национальных исследований, проводимых и планируемых к проведению в рамках научно-исследовательских работ.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 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г. № 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актуальных направлений научно-исследовательских работ в области стандартизации и метрологии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Разработка документов,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Евразийского экономического союза, в случае отсутствия аналогов таких документов.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научно-технического уровня требований к продукции, установленных в технических регламентах Евразийского экономического союза и стандартах, включенных в перечни стандартов, обеспечивающих соблюдение, применение и исполнение требований технических регламентов Евразийского экономического союза и осуществление оценки соответствия объектов технического регулирования, в целях выработки научно обоснованных предложений для их учета при осуществлении актуализации технических регламентов Евразийского экономического союза и соответствующих стандартов.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Развитие межгосударственной, национальной и негосударственной стандартизации в рамках Евразийского экономического союза для целей развития интеграции, сближения уровней экономического развития государств – членов Евразийского экономического союза, расширения областей экономического сотрудничества и развития интеграционного потенциала Евразийского экономического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Совершенствование базы межгосударственных и национальных стандартов для целей устойчивого развития, сохранения и рационального использования природных ресурсов, развития циркулярной экономики (экономики замкнутого цикла), "зеленых" технологий, технологий с низким уровнем выбросов парниковых газов.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Совершенствование метрологического обеспечения единых требований безопасности продукции, выпускаемой в обращение в государствах – членах Евразийского экономического союза.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Развитие метрологического обеспечения общих рынков продукции Евразийского экономического союза.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Разработка новых средств измерений и стандартных образцов, а также научно-технических основ создания новых поколений средств измерений.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