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1651" w14:textId="7191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актуальных направлениях научно-исследовательских работ в области стандартизации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января 2022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4.4.2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 г. № 4, в целях обеспечения проведения Евразийской экономической комиссией (далее – Комиссия) и государствами – членами Евразийского экономического союза (далее – государства-члены) научно-исследовательских работ в области стандартизации и метрологии в 2022 – 2025 годах: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 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актуальных направлений научно-исследовательских работ в области стандартизации и метрологии (далее – перечень актуальных направлений).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 Комиссии совместно с правительствами государств-членов обеспечить в соответствии с перечнем актуальных направлений подготовку предложений по проведению научно-исследовательских работ в области стандартизации и метрологии для включения в ежегодные планы научно-исследовательских работ Комиссии в пределах общих расходов на финансирование исследовательской деятельности Комиссии, предусматриваемых в бюджете Евразийского экономического союза на соответствующий финансовый год.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 Просить правительства государств-членов учитывать перечень актуальных направлений при планировании национальных исследований, проводимых и планируемых к проведению в рамках научно-исследовательских работ.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 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актуальных направлений научно-исследовательских работ в области стандартизации и метрологии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Разработка документов,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Евразийского экономического союза, в случае отсутствия аналогов таких документов.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научно-технического уровня требований к продукции, установленных в технических регламентах Евразийского экономического союза и стандартах, включенных в перечни стандартов, обеспечивающих соблюдение, применение и исполнение требований технических регламентов Евразийского экономического союза и осуществление оценки соответствия объектов технического регулирования, в целях выработки научно обоснованных предложений для их учета при осуществлении актуализации технических регламентов Евразийского экономического союза и соответствующих стандартов.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Развитие межгосударственной, национальной и негосударственной стандартизации в рамках Евразийского экономического союза для целей развития интеграции, сближения уровней экономического развития государств – членов Евразийского экономического союза, расширения областей экономического сотрудничества и развития интеграционного потенциала Евразийского экономического союза.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Совершенствование базы межгосударственных и национальных стандартов для целей устойчивого развития, сохранения и рационального использования природных ресурсов, развития циркулярной экономики (экономики замкнутого цикла), "зеленых" технологий, технологий с низким уровнем выбросов парниковых газов.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Совершенствование метрологического обеспечения единых требований безопасности продукции, выпускаемой в обращение в государствах – членах Евразийского экономического союза.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Развитие метрологического обеспечения общих рынков продукции Евразийского экономического союза.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Разработка новых средств измерений и стандартных образцов, а также научно-технических основ создания новых поколений средств измерений.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