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97d9" w14:textId="cfc9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выработке приоритетных инструментов реализации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мая 2022 года № 79.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9.4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 г. № 12: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Создать рабочую группу по выработке приоритетных инструментов реализации механизма "единого окна" в системе регулирования внешнеэкономической деятельности (далее – рабочая группа).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Назначить руководителем рабочей группы члена Коллегии (Министра) по таможенному сотрудничеству Евразийской экономической комиссии.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 утвердить положение о рабочей группе и состав рабочей группы, сформированный на основании предложений государств – членов Евразийского экономического союза.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