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ee0e" w14:textId="62de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организации проведения межлабораторных сравнительных испытаний (межлабораторных сличений)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декабря 2022 года № 196.</w:t>
      </w:r>
    </w:p>
    <w:p>
      <w:pPr>
        <w:spacing w:after="0"/>
        <w:ind w:left="0"/>
        <w:jc w:val="both"/>
      </w:pPr>
      <w:bookmarkStart w:name="z15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политики в области обеспечения единства измерений (приложение № 10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и в целях реализации абзаца четвертого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признании результатов работ по аккредитации органов по оценке соответствия (приложение № 11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15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проведения межлабораторных сравнительных испытаний (межлабораторных сличений), утвержденный Решением Коллегии Евразийской экономической комиссии от 26 января 2016 г. № 12, изменения согласно п</w:t>
      </w:r>
      <w:r>
        <w:rPr>
          <w:rFonts w:ascii="Times New Roman"/>
          <w:b w:val="false"/>
          <w:i w:val="false"/>
          <w:color w:val="000000"/>
          <w:sz w:val="28"/>
        </w:rPr>
        <w:t>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15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12 месяцев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2022 г. № 196 </w:t>
            </w:r>
          </w:p>
        </w:tc>
      </w:tr>
    </w:tbl>
    <w:bookmarkStart w:name="z15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Порядок организации проведения межлабораторных сравнительных испытаний (межлабораторных сличений)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проведения межлабораторных сравнительных испытаний (межлабораторных сличений)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г.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2022 г. № 196)</w:t>
            </w:r>
          </w:p>
        </w:tc>
      </w:tr>
    </w:tbl>
    <w:bookmarkStart w:name="z15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организации проведения межлабораторных сравнительных испытаний (межлабораторных сличений)</w:t>
      </w:r>
    </w:p>
    <w:bookmarkEnd w:id="4"/>
    <w:bookmarkStart w:name="z15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5"/>
    <w:bookmarkStart w:name="z16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устанавливает требования к организации проведения межлабораторных сравнительных испытаний (межлабораторных сличений) с целью проверки квалификации аккредитованных испытательных лабораторий (центров), выполняющих работы по оценке соответствия продукции требованиям технических регламентов Евразийского экономического союза (далее – Союз) и включенных в единый реестр органов по оценке соответствия Союза (далее – испытательные лаборатории) в соответствии с областью аккредитации.</w:t>
      </w:r>
    </w:p>
    <w:bookmarkEnd w:id="6"/>
    <w:bookmarkStart w:name="z16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настоящего Порядка используются понятия, которые означают следующее:</w:t>
      </w:r>
    </w:p>
    <w:bookmarkEnd w:id="7"/>
    <w:bookmarkStart w:name="z16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"межлабораторные сравнительные испытания (межлабораторные сличения) с целью проверки квалификации испытательных лабораторий", "межлабораторные сличения" – процедура организации, выполнения и оценивания исследований (испытаний) и измерений одного и того же или нескольких подобных образцов в двух и более испытательных лабораториях посредством оценивания характеристик функционирования этих испытательных лабораторий;</w:t>
      </w:r>
    </w:p>
    <w:bookmarkEnd w:id="8"/>
    <w:bookmarkStart w:name="z1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"образец для проверки квалификации", "образец" – объект исследований (испытаний) и измерений, техническое средство, стандартный образец, вещество (смесь веществ), материал, иные объекты природного и искусственного происхождения, которые могут быть использованы в качестве образца для организации межлабораторных сличений, с заранее установленными характеристиками (составами, свойствами, параметрами), предназначенный для проверки квалификации испытательных лабораторий;</w:t>
      </w:r>
    </w:p>
    <w:bookmarkEnd w:id="9"/>
    <w:bookmarkStart w:name="z16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"провайдер проверки квалификации", "провайдер" – организация, которая несет ответственность за все задачи по разработке и выполнению программ межлабораторных сравнительных испытаний (межлабораторных сличений) с целью проверки квалификации испытательных лабораторий; </w:t>
      </w:r>
    </w:p>
    <w:bookmarkEnd w:id="10"/>
    <w:bookmarkStart w:name="z1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"программа межлабораторных сравнительных испытаний (межлабораторных сличений) с целью проверки квалификации испытательных лабораторий", "программа межлабораторных сличений" – документ, устанавливающий последовательность действий, выполняемых провайдером при организации и проведении межлабораторных сличений за один или несколько туров программы межлабораторных сличений в определенной области исследований (испытаний) и измерений; </w:t>
      </w:r>
    </w:p>
    <w:bookmarkEnd w:id="11"/>
    <w:bookmarkStart w:name="z1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"субподрядчик" – юридическое или физическое лицо, привлекаемое провайдером в качестве соисполнителя на различных этапах разработки и реализации программы межлабораторных сличений;</w:t>
      </w:r>
    </w:p>
    <w:bookmarkEnd w:id="12"/>
    <w:bookmarkStart w:name="z16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"технический эксперт" – физическое лицо, обладающее специальными знаниями в определенной области исследований (испытаний) и измерений, привлекаемое для участия в программе межлабораторных сличений и оценки данной программы и результатов ее реализации, являющееся работником провайдера (на постоянной основе или на договорных условиях); </w:t>
      </w:r>
    </w:p>
    <w:bookmarkEnd w:id="13"/>
    <w:bookmarkStart w:name="z1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"тур программы межлабораторных сравнительных испытаний (межлабораторных сличений) с целью проверки квалификации испытательных лабораторий", "тур программы межлабораторных сличений" – завершенная последовательность действий по распределению образцов, оцениванию результатов проверки квалификации и предоставлению отчета о таких результатах участникам межлабораторных сличений.</w:t>
      </w:r>
    </w:p>
    <w:bookmarkEnd w:id="14"/>
    <w:bookmarkStart w:name="z1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Порядке,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техническом регулировании в рамках Евразийского экономического союза (приложение № 9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согласованной политики в области обеспечения единства измерений (приложение № 10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метрологической аттестации методики (метода) измерений, утвержденным Решением Совета Евразийской экономической комиссии от 17 марта 2016 г. № 21, и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методики (метода) измерений, принимаемой в качестве референтной методики (метода) измерений, утвержденным Решением Коллегии Евразийской экономической комиссии от 7 июня 2016 г. № 68. </w:t>
      </w:r>
    </w:p>
    <w:bookmarkEnd w:id="15"/>
    <w:bookmarkStart w:name="z1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Участниками деятельности по проведению межлабораторных сличений являются:</w:t>
      </w:r>
    </w:p>
    <w:bookmarkEnd w:id="16"/>
    <w:bookmarkStart w:name="z17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государств – членов Союза (далее – государства-члены), уполномоченные на осуществление соответствующей деятельности (далее – уполномоченные органы);</w:t>
      </w:r>
    </w:p>
    <w:bookmarkEnd w:id="17"/>
    <w:bookmarkStart w:name="z17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провайдеры проверки квалификации, осуществляющие свою деятельность в соответствии с требованиями межгосударственного стандарта, идентичного международному стандарту ISО/IEC 17043 "Оценка соответствия. Основные требования к проведению проверки квалификации" (далее – ГОСТ ISО/IEC 17043), уполномоченные (аккредитованные) на проведение этих работ в соответствии законодательством государств-членов; </w:t>
      </w:r>
    </w:p>
    <w:bookmarkEnd w:id="18"/>
    <w:bookmarkStart w:name="z17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испытательные лаборатории, которые являются участниками межлабораторных сличений (далее – лаборатории-участники).</w:t>
      </w:r>
    </w:p>
    <w:bookmarkEnd w:id="19"/>
    <w:bookmarkStart w:name="z17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Уполномоченные органы осуществляют следующие функции:</w:t>
      </w:r>
    </w:p>
    <w:bookmarkEnd w:id="20"/>
    <w:bookmarkStart w:name="z17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научно-методическое обеспечение работ по реализации в государствах-членах программ межлабораторных сравнительных испытаний (межлабораторных сличений) с целью проверки квалификации испытательных лабораторий;</w:t>
      </w:r>
    </w:p>
    <w:bookmarkEnd w:id="21"/>
    <w:bookmarkStart w:name="z17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предложений по разработке и реализации программ межлабораторных сличений (при необходимости);</w:t>
      </w:r>
    </w:p>
    <w:bookmarkEnd w:id="22"/>
    <w:bookmarkStart w:name="z17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критериев и процедур оценки программ межлабораторных сличений и отчетов по итогам их реализации с целью формирования сводного перечня программ межлабораторных сличений;</w:t>
      </w:r>
    </w:p>
    <w:bookmarkEnd w:id="23"/>
    <w:bookmarkStart w:name="z17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результатов реализации программ межлабораторных сличений; </w:t>
      </w:r>
    </w:p>
    <w:bookmarkEnd w:id="24"/>
    <w:bookmarkStart w:name="z17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сводного перечня программ межлабораторных сличений и ежегодное представление его в Евразийскую экономическую комиссию (далее – Комиссия);</w:t>
      </w:r>
    </w:p>
    <w:bookmarkEnd w:id="25"/>
    <w:bookmarkStart w:name="z18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сводной информации по результатам реализации программ межлабораторных сличений и ежегодное представление ее в Комиссию;</w:t>
      </w:r>
    </w:p>
    <w:bookmarkEnd w:id="26"/>
    <w:bookmarkStart w:name="z18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иных функций, определенных в соответствии с законодательством государства-члена. </w:t>
      </w:r>
    </w:p>
    <w:bookmarkEnd w:id="27"/>
    <w:bookmarkStart w:name="z18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Функции уполномоченного органа могут быть возложены на метрологический институт, определенный государством-членом в соответствии с его законодательством. </w:t>
      </w:r>
    </w:p>
    <w:bookmarkEnd w:id="28"/>
    <w:bookmarkStart w:name="z18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совмещение функций уполномоченного органа и провайдера проверки квалификации в случае, если это установлено законодательством государства-члена. </w:t>
      </w:r>
    </w:p>
    <w:bookmarkEnd w:id="29"/>
    <w:bookmarkStart w:name="z18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Деятельность провайдера проверки квалификации должна соответствовать следующим требованиям: </w:t>
      </w:r>
    </w:p>
    <w:bookmarkEnd w:id="30"/>
    <w:bookmarkStart w:name="z18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наличие собственной испытательной базы в соответствующей области исследований (испытаний) и измерений (далее – испытания) для подготовки и испытания образцов;</w:t>
      </w:r>
    </w:p>
    <w:bookmarkEnd w:id="31"/>
    <w:bookmarkStart w:name="z18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возможность привлекать к подготовке и испытанию образцов субподрядчика, располагающего необходимой испытательной базой, в соответствии с законодательством государства-члена. При этом провайдер (или субподрядчик) должен быть компетентен в измерении определяемых свойств образцов с учетом требований межгосударственного стандарта, идентичного международному стандарту ISO/IEC 17025 "Общие требования к компетентности испытательных и калибровочных лабораторий", и иных межгосударственных стандартов, для случая, если в качестве объектов межлабораторных сличений не применяются аттестованные (сертифицированные) стандартные образцы состава и свойств веществ и материалов;</w:t>
      </w:r>
    </w:p>
    <w:bookmarkEnd w:id="32"/>
    <w:bookmarkStart w:name="z18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наличие в штате технических экспертов и иных компетентных специалистов в областях испытаний, в которых провайдер выполняет программы межлабораторных сличений. Технические эксперты в случае необходимости могут привлекаться провайдером на договорной основе для подготовки и испытания образцов для проверки квалификации; </w:t>
      </w:r>
    </w:p>
    <w:bookmarkEnd w:id="33"/>
    <w:bookmarkStart w:name="z18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независимость от лабораторий-участников, отсутствие общих коммерческих, финансовых и административных интересов или конкуренции с ними;</w:t>
      </w:r>
    </w:p>
    <w:bookmarkEnd w:id="34"/>
    <w:bookmarkStart w:name="z18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беспристрастность при выполнении программ межлабораторных сличений. В случае наличия обстоятельств, влияющих на беспристрастность его решений, провайдер должен определить потенциальные конфликты интересов, осуществить оценку рисков и внедрить процедуры, гарантирующие беспристрастное выполнение всех видов работ, связанных с проверкой квалификации лабораторий-участников;</w:t>
      </w:r>
    </w:p>
    <w:bookmarkEnd w:id="35"/>
    <w:bookmarkStart w:name="z19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информирование лабораторий-участников о ежегодном предоставлении результатов их участия в программах межлабораторных сличений в уполномоченный орган.</w:t>
      </w:r>
    </w:p>
    <w:bookmarkEnd w:id="36"/>
    <w:bookmarkStart w:name="z19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Разработка и реализация программ межлабораторных сличений осуществляются провайдером с учетом следующей приоритетности:</w:t>
      </w:r>
    </w:p>
    <w:bookmarkEnd w:id="37"/>
    <w:bookmarkStart w:name="z19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программы межлабораторных сличений с использованием в качестве образцов стандартных образцов состава и свойств веществ и материалов, производителем которых является провайдер;</w:t>
      </w:r>
    </w:p>
    <w:bookmarkEnd w:id="38"/>
    <w:bookmarkStart w:name="z19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программы межлабораторных сличений с использованием образцов, создаваемых на основе стандартного образца (образцов для контроля качества); </w:t>
      </w:r>
    </w:p>
    <w:bookmarkEnd w:id="39"/>
    <w:bookmarkStart w:name="z19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программы межлабораторных сличений с использованием образцов веществ, материалов продукции (реальных матриц), оборудования, технических средств и (или) других объектов измерений, для которых провайдер обеспечил проведение испытаний на однородность образца и (или) стабильность измеряемых величин. Такие испытания должны быть проведены предварительно до разработки и реализации программы межлабораторных сличений, по итогам их проведения должен быть подготовлен отчет. При этом приписанное значение измеряемых величин такого образца должно быть установлено одним из способов с учетом следующей приоритетности:</w:t>
      </w:r>
    </w:p>
    <w:bookmarkEnd w:id="40"/>
    <w:bookmarkStart w:name="z19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использованием эталона, прослеживаемого до международного или национального эталона;</w:t>
      </w:r>
    </w:p>
    <w:bookmarkEnd w:id="41"/>
    <w:bookmarkStart w:name="z19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использованием стандартного образца, одно или несколько определенных свойств которого указаны в документации, которой сопровождается такой образец и в которой приведены значения этих свойств, связанной с ними погрешности (неопределенности) и информация о метрологической прослеживаемости;</w:t>
      </w:r>
    </w:p>
    <w:bookmarkEnd w:id="42"/>
    <w:bookmarkStart w:name="z19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использованием первичной референтной методики (метода) измерений и (или) референтных методик (методов) измерений; </w:t>
      </w:r>
    </w:p>
    <w:bookmarkEnd w:id="43"/>
    <w:bookmarkStart w:name="z19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межлабораторных сличений одной или нескольких испытательных лабораторий, использующих оборудование более высокой точности по сравнению с лабораториями-участниками;</w:t>
      </w:r>
    </w:p>
    <w:bookmarkEnd w:id="44"/>
    <w:bookmarkStart w:name="z19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межлабораторных сличений одной или нескольких лабораторий-участников при их участии в международных или региональных программах межлабораторных сличений;</w:t>
      </w:r>
    </w:p>
    <w:bookmarkEnd w:id="45"/>
    <w:bookmarkStart w:name="z20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общей совокупности результатов межлабораторных сличений лабораторий-участников.</w:t>
      </w:r>
    </w:p>
    <w:bookmarkEnd w:id="46"/>
    <w:bookmarkStart w:name="z20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Лаборатории-участники проводят испытания с использованием методик (методов) испытаний, содержащихся в стандартах, включенных в утвержденные Комиссией перечни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регулирования.</w:t>
      </w:r>
    </w:p>
    <w:bookmarkEnd w:id="47"/>
    <w:bookmarkStart w:name="z20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реализации межлабораторных сличений провайдер разрабатывает программу межлабораторных сличений с учетом требований ГОСТ ISO/IEC 13528 "Статистические методы, применяемые при проверке квалификации посредством межлабораторных сличений" и при необходимости ГОСТ ISO/TS 22117 "Микробиология пищевых продуктов и кормов для животных. Специальные требования и руководство по проверке квалификации лабораторий с помощью межлабораторных сравнительных испытаний". При разработке программ межлабораторных сличений с целью проверки квалификации испытательных лабораторий, планирующих выполнение работ по оценке соответствия продукции требованиям технических регламентов Союза или выполняющих такие работы, необходимо учитывать показатели (характеристики) безопасности объектов испытаний, а также методики (методы) испытаний, включенные в перечни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регулирования.</w:t>
      </w:r>
    </w:p>
    <w:bookmarkEnd w:id="48"/>
    <w:bookmarkStart w:name="z20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программ межлабораторных сличений, разрабатываемых провайдерами государств-членов, допускается участие испытательных лабораторий в программах межлабораторных сличений, разрабатываемых и реализованных провайдерами третьих стран, которые аккредитованы органами по аккредитации – подписантами Соглашения о взаимном признании Международной организации по аккредитации лабораторий (ILAC MRA) в этой области.</w:t>
      </w:r>
    </w:p>
    <w:bookmarkEnd w:id="49"/>
    <w:bookmarkStart w:name="z20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о результатах испытаний лаборатории-участника и оценка ее характеристик функционирования является конфиденциальной и без письменного согласия лаборатории-участника не подлежит разглашению или передаче другим организациям или лицам, если иное не установлено законодательством государств-членов.</w:t>
      </w:r>
    </w:p>
    <w:bookmarkEnd w:id="50"/>
    <w:bookmarkStart w:name="z20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межлабораторных сличений могут быть использованы для:</w:t>
      </w:r>
    </w:p>
    <w:bookmarkEnd w:id="51"/>
    <w:bookmarkStart w:name="z20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оценки:</w:t>
      </w:r>
    </w:p>
    <w:bookmarkEnd w:id="52"/>
    <w:bookmarkStart w:name="z20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точности, обеспечения достоверности результатов измерений и (или) оценки качества результатов измерений;</w:t>
      </w:r>
    </w:p>
    <w:bookmarkEnd w:id="53"/>
    <w:bookmarkStart w:name="z20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эквивалентности или сравнительной оценки результатов измерений;</w:t>
      </w:r>
    </w:p>
    <w:bookmarkEnd w:id="54"/>
    <w:bookmarkStart w:name="z20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метрологических характеристик методик (методов) измерений с целью их аттестации;</w:t>
      </w:r>
    </w:p>
    <w:bookmarkEnd w:id="55"/>
    <w:bookmarkStart w:name="z21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измерительных возможностей лаборатории-участника;</w:t>
      </w:r>
    </w:p>
    <w:bookmarkEnd w:id="56"/>
    <w:bookmarkStart w:name="z21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оценки (подтверждения) метрологических и технических характеристик (параметров) образца в целях его аттестации (сертификации) в качестве стандартного образца либо организации межлабораторных сличений;</w:t>
      </w:r>
    </w:p>
    <w:bookmarkEnd w:id="57"/>
    <w:bookmarkStart w:name="z21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решения иных задач.</w:t>
      </w:r>
    </w:p>
    <w:bookmarkEnd w:id="58"/>
    <w:bookmarkStart w:name="z21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Периодичность участия испытательных лабораторий в межлабораторных сличениях с целью проверки квалификации должен устанавливать орган по аккредитации государства-члена, но не реже 1 раза в 3 года, если такая деятельность доступна и применима в заявленной или действующей областях аккредитации.</w:t>
      </w:r>
    </w:p>
    <w:bookmarkEnd w:id="59"/>
    <w:bookmarkStart w:name="z21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 по аккредитации государства-члена учитывает результаты участия испытательных лабораторий в межлабораторных сличениях, организованных провайдерами, в процессе аккредитации этих испытательных лабораторий в соответствии с правилами аккредитации, установленными законодательством государства-члена. 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Порядок разработки и реализации программ межлабораторных сравнительных испытаний (межлабораторных сличений) с целью проверки квалификации испытательных лабораторий </w:t>
      </w:r>
    </w:p>
    <w:bookmarkStart w:name="z21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Проведение межлабораторных сличений предусматривает разработку различных типов программ межлабораторных сличений в соответствии с ГОСТ ISO/IEC 17043.</w:t>
      </w:r>
    </w:p>
    <w:bookmarkEnd w:id="61"/>
    <w:bookmarkStart w:name="z21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Программа межлабораторных сличений разрабатывается провайдером в зависимости от выбранного типа на основании анализа поступивших предложений, заявок и технических возможностей провайдера по реализации межлабораторных сличений. </w:t>
      </w:r>
    </w:p>
    <w:bookmarkEnd w:id="62"/>
    <w:bookmarkStart w:name="z21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рассматриваются ресурсы и возможности провайдера, включая область аккредитации, технические требования к образцам, методикам (методам) испытаний, оборудованию, условиям выполнения работ, сроки выполнения работ, необходимость привлечения субподрядчиков для выполнения работ по подготовке и испытанию образцов и др.</w:t>
      </w:r>
    </w:p>
    <w:bookmarkEnd w:id="63"/>
    <w:bookmarkStart w:name="z21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Разработка программ межлабораторных сличений осуществляется с учетом требований технических регламентов Союза, направлений деятельности (областей испытаний, методик (методов) испытаний) испытательных лабораторий, видов испытываемой продукции. </w:t>
      </w:r>
    </w:p>
    <w:bookmarkEnd w:id="64"/>
    <w:bookmarkStart w:name="z21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Каждой программе межлабораторных сличений присваивается уникальный идентификационный номер в соответствии с требованиями системы менеджмента провайдера. </w:t>
      </w:r>
    </w:p>
    <w:bookmarkEnd w:id="65"/>
    <w:bookmarkStart w:name="z22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Разработка программы межлабораторных сличений включает в себя следующие этапы:</w:t>
      </w:r>
    </w:p>
    <w:bookmarkEnd w:id="66"/>
    <w:bookmarkStart w:name="z22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цели и задач программы;</w:t>
      </w:r>
    </w:p>
    <w:bookmarkEnd w:id="67"/>
    <w:bookmarkStart w:name="z22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типа программы;</w:t>
      </w:r>
    </w:p>
    <w:bookmarkEnd w:id="68"/>
    <w:bookmarkStart w:name="z22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технических экспертов и иных компетентных специалистов, привлекаемых к разработке и реализации программы;</w:t>
      </w:r>
    </w:p>
    <w:bookmarkEnd w:id="69"/>
    <w:bookmarkStart w:name="z22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области применения программы (номенклатура испытываемой продукции, измеряемые величины, диапазон измеряемых величин, применяемые лабораториями-участниками методики (методы) испытаний);</w:t>
      </w:r>
    </w:p>
    <w:bookmarkEnd w:id="70"/>
    <w:bookmarkStart w:name="z22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критериев выбора лабораторий-участников;</w:t>
      </w:r>
    </w:p>
    <w:bookmarkEnd w:id="71"/>
    <w:bookmarkStart w:name="z22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требований к приобретению или подготовке образцов, их маркировке и упаковке, условиям их хранения, транспортирования, способам их распространения среди лабораторий-участников;</w:t>
      </w:r>
    </w:p>
    <w:bookmarkEnd w:id="72"/>
    <w:bookmarkStart w:name="z22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методов установления приписанного значения измеряемой величины и оценки неопределенности измерений, подтверждение метрологической прослеживаемости (при возможности);</w:t>
      </w:r>
    </w:p>
    <w:bookmarkEnd w:id="73"/>
    <w:bookmarkStart w:name="z22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требований к подтверждению однородности и стабильности образцов;</w:t>
      </w:r>
    </w:p>
    <w:bookmarkEnd w:id="74"/>
    <w:bookmarkStart w:name="z22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в форс-мажорных ситуациях (например, при утере или повреждении лабораторией-участником образца, нарушении правил конфиденциальности);</w:t>
      </w:r>
    </w:p>
    <w:bookmarkEnd w:id="75"/>
    <w:bookmarkStart w:name="z23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правил взаимодействия с лабораториями-участниками (в том числе требования к информации, получаемой от лабораторий-участников и предоставляемой лабораториям-участникам провайдером);</w:t>
      </w:r>
    </w:p>
    <w:bookmarkEnd w:id="76"/>
    <w:bookmarkStart w:name="z23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результатов испытаний лабораторий-участников.</w:t>
      </w:r>
    </w:p>
    <w:bookmarkEnd w:id="77"/>
    <w:bookmarkStart w:name="z23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Провайдер реализует программу межлабораторных сличений посредством реализации ее туров. Для реализации туров программы межлабораторных сличений провайдер разрабатывает документы, включая планы реализации туров, инструкции для лабораторий-участников, протоколы испытаний образцов и (или) отчеты о подготовке образцов и иные документы. </w:t>
      </w:r>
    </w:p>
    <w:bookmarkEnd w:id="78"/>
    <w:bookmarkStart w:name="z23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Провайдер включает в документы по реализации тура программы межлабораторных сравнительных испытаний (межлабораторных сличений) с целью проверки квалификации испытательных лабораторий следующие сведения:</w:t>
      </w:r>
    </w:p>
    <w:bookmarkEnd w:id="79"/>
    <w:bookmarkStart w:name="z23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и контактная информация провайдера;</w:t>
      </w:r>
    </w:p>
    <w:bookmarkEnd w:id="80"/>
    <w:bookmarkStart w:name="z23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цель проведения межлабораторных сличений;</w:t>
      </w:r>
    </w:p>
    <w:bookmarkEnd w:id="81"/>
    <w:bookmarkStart w:name="z23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используемые типы программы межлабораторных сличений;</w:t>
      </w:r>
    </w:p>
    <w:bookmarkEnd w:id="82"/>
    <w:bookmarkStart w:name="z23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информация о лабораториях-участниках;</w:t>
      </w:r>
    </w:p>
    <w:bookmarkEnd w:id="83"/>
    <w:bookmarkStart w:name="z23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информация о подготовке образцов;</w:t>
      </w:r>
    </w:p>
    <w:bookmarkEnd w:id="84"/>
    <w:bookmarkStart w:name="z23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перечень измеряемых величин при проведении межлабораторных сличений;</w:t>
      </w:r>
    </w:p>
    <w:bookmarkEnd w:id="85"/>
    <w:bookmarkStart w:name="z24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методики (методы) испытаний с указанием нормативных правовых актов, устанавливающих методику (метод) испытаний (при необходимости);</w:t>
      </w:r>
    </w:p>
    <w:bookmarkEnd w:id="86"/>
    <w:bookmarkStart w:name="z24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способы установления приписанного значения измеряемой величины и связанной с ним погрешности (неопределенности), информация о метрологической прослеживаемости (при возможности);</w:t>
      </w:r>
    </w:p>
    <w:bookmarkEnd w:id="87"/>
    <w:bookmarkStart w:name="z24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информация об образцах:</w:t>
      </w:r>
    </w:p>
    <w:bookmarkEnd w:id="88"/>
    <w:bookmarkStart w:name="z24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стандартного образца – категории, наименования, аттестованные значения стандартного образца, погрешность (неопределенность) аттестованных значений стандартного образца; </w:t>
      </w:r>
    </w:p>
    <w:bookmarkEnd w:id="89"/>
    <w:bookmarkStart w:name="z24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образца, создаваемого на основе стандартного образца, – описание образца, информация о лаборатории-участнике, предоставляющей приписанное значение измеряемой величины, технические требования к образцу (при необходимости);</w:t>
      </w:r>
    </w:p>
    <w:bookmarkEnd w:id="90"/>
    <w:bookmarkStart w:name="z24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оборудования, технического средства и (или) других объектов измерений – описание образца, информация о лаборатории-участнике, предоставляющей приписанное значение измеряемой величины, метрологические и технические требования к образцу (при необходимости); </w:t>
      </w:r>
    </w:p>
    <w:bookmarkEnd w:id="91"/>
    <w:bookmarkStart w:name="z24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требования к:</w:t>
      </w:r>
    </w:p>
    <w:bookmarkEnd w:id="92"/>
    <w:bookmarkStart w:name="z24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отчету о подготовке образцов, включая заключение о возможности их применения;</w:t>
      </w:r>
    </w:p>
    <w:bookmarkEnd w:id="93"/>
    <w:bookmarkStart w:name="z24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упаковке и доставке образцов лабораториям-участникам;</w:t>
      </w:r>
    </w:p>
    <w:bookmarkEnd w:id="94"/>
    <w:bookmarkStart w:name="z24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условиям проведения работ для обеспечения согласованных условий у разных лабораторий-участников;</w:t>
      </w:r>
    </w:p>
    <w:bookmarkEnd w:id="95"/>
    <w:bookmarkStart w:name="z25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средствам измерений, испытательному, вспомогательному, лабораторному оборудованию, материалам и реактивам, применяемым в соответствии с методиками (методами) испытаний (при необходимости);</w:t>
      </w:r>
    </w:p>
    <w:bookmarkEnd w:id="96"/>
    <w:bookmarkStart w:name="z25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оформлению результатов испытаний;</w:t>
      </w:r>
    </w:p>
    <w:bookmarkEnd w:id="97"/>
    <w:bookmarkStart w:name="z25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сроки реализации тура программы межлабораторных сличений и проведения работ непосредственно лабораториями-участниками, предусмотренные календарным планом (при необходимости одновременного проведения).</w:t>
      </w:r>
    </w:p>
    <w:bookmarkEnd w:id="98"/>
    <w:bookmarkStart w:name="z25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Провайдер имеет право запросить у лабораторий-участников информацию, необходимую для оценки результатов межлабораторных сличений.</w:t>
      </w:r>
    </w:p>
    <w:bookmarkEnd w:id="99"/>
    <w:bookmarkStart w:name="z25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если в сведениях об используемых методиках (методах) испытаний не указаны нормы и (или) значения характеристик точности, воспроизводимости, повторяемости и приписанных значений погрешности (неопределенности), то в отчете о реализации тура программы межлабораторных сличений провайдер указывает способ установления критериев приемлемости для оценки результатов испытаний лабораторий-участников. </w:t>
      </w:r>
    </w:p>
    <w:bookmarkEnd w:id="100"/>
    <w:bookmarkStart w:name="z25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Требования к образцам для проверки квалификации</w:t>
      </w:r>
    </w:p>
    <w:bookmarkEnd w:id="101"/>
    <w:bookmarkStart w:name="z25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Образцы для проверки квалификации должны соответствовать по составу или свойству выбранному объекту испытаний.</w:t>
      </w:r>
    </w:p>
    <w:bookmarkEnd w:id="102"/>
    <w:bookmarkStart w:name="z25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качестве образцов могут быть использованы:</w:t>
      </w:r>
    </w:p>
    <w:bookmarkEnd w:id="103"/>
    <w:bookmarkStart w:name="z25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аттестованные (сертифицированные) стандартные образцы состава и свойств веществ и материалов в соответствии c законодательством государства-члена;</w:t>
      </w:r>
    </w:p>
    <w:bookmarkEnd w:id="104"/>
    <w:bookmarkStart w:name="z25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образцы, создаваемые на основе стандартного образца, с установленными приписанными значениями измеряемых величин;</w:t>
      </w:r>
    </w:p>
    <w:bookmarkEnd w:id="105"/>
    <w:bookmarkStart w:name="z26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образцы, приписанное значение которых устанавливается на основе данных, полученных при осуществлении процедуры их изготовления;</w:t>
      </w:r>
    </w:p>
    <w:bookmarkEnd w:id="106"/>
    <w:bookmarkStart w:name="z26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реальные образцы продукции (при отсутствии стандартных образцов), в отношении которых обеспечена стабильность измеряемых величин и однородность материала в период реализации тура программы межлабораторных сличений; </w:t>
      </w:r>
    </w:p>
    <w:bookmarkEnd w:id="107"/>
    <w:bookmarkStart w:name="z26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оборудование, техническое средство и (или) другие объекты измерений.</w:t>
      </w:r>
    </w:p>
    <w:bookmarkEnd w:id="108"/>
    <w:bookmarkStart w:name="z26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Образцы для проверки квалификации изготавливаются в количестве, достаточном для целей межлабораторных сличений, в том числе для возможности возмещения образцов, утерянных или поврежденных при распределении, а также их использования после того, как результаты испытаний лабораторий-участников оценены.</w:t>
      </w:r>
    </w:p>
    <w:bookmarkEnd w:id="109"/>
    <w:bookmarkStart w:name="z26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Провайдер готовит дополнительные образцы для проверки квалификации в достаточном количестве в случае возникновения форс-мажорных ситуаций или разногласий в отношении результатов лабораторий-участников.</w:t>
      </w:r>
    </w:p>
    <w:bookmarkEnd w:id="110"/>
    <w:bookmarkStart w:name="z26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Приписанное значение измеряемой величины образца должно находиться в диапазоне определяемых значений каждой из методик (методов) испытаний, которые будут применены лабораториями-участниками. В качестве приписанного значения измеряемой величины принимают:</w:t>
      </w:r>
    </w:p>
    <w:bookmarkEnd w:id="111"/>
    <w:bookmarkStart w:name="z26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аттестованное (сертифицированное) значение стандартного образца, приведенное в паспорте (сертификате) или в другом документе на стандартный образец с указанием погрешности (неопределенности);</w:t>
      </w:r>
    </w:p>
    <w:bookmarkEnd w:id="112"/>
    <w:bookmarkStart w:name="z26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значение измеряемой величины, полученное для конкретного свойства образца в соответствии со способом изготовления (с использованием метода добавки или метода разбавления);</w:t>
      </w:r>
    </w:p>
    <w:bookmarkEnd w:id="113"/>
    <w:bookmarkStart w:name="z26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значение измеряемой величины, определяемое в ходе испытания образца с использованием эталона, прослеживаемого до международного или национального эталона; </w:t>
      </w:r>
    </w:p>
    <w:bookmarkEnd w:id="114"/>
    <w:bookmarkStart w:name="z26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результат испытаний, полученный испытательной лабораторией, которая использует для установления приписанных значений измеряемых величин образца первичную референтную и (или) референтную методику (метод) измерений; </w:t>
      </w:r>
    </w:p>
    <w:bookmarkEnd w:id="115"/>
    <w:bookmarkStart w:name="z27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согласованные значения результатов испытаний, полученные испытательными лабораториями с использованием статистических методов анализа данных, с учетом влияния выбросов;</w:t>
      </w:r>
    </w:p>
    <w:bookmarkEnd w:id="116"/>
    <w:bookmarkStart w:name="z27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результат испытаний лаборатории (при отсутствии лаборатории, указанной в подпункте "г" настоящего пункта), соответствующей одному из следующих требований, перечисленных в порядке приоритетности:</w:t>
      </w:r>
    </w:p>
    <w:bookmarkEnd w:id="117"/>
    <w:bookmarkStart w:name="z27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эталона, прослеживаемого до международного или национального эталона;</w:t>
      </w:r>
    </w:p>
    <w:bookmarkEnd w:id="118"/>
    <w:bookmarkStart w:name="z27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аттестованного (сертифицированного) стандартного образца, прослеживаемого до международного или национального эталона;</w:t>
      </w:r>
    </w:p>
    <w:bookmarkEnd w:id="119"/>
    <w:bookmarkStart w:name="z27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средства измерений более высокой точности, чем средства измерений лабораторий-участников;</w:t>
      </w:r>
    </w:p>
    <w:bookmarkEnd w:id="120"/>
    <w:bookmarkStart w:name="z27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опыта и навыков изготовления стандартных образцов;</w:t>
      </w:r>
    </w:p>
    <w:bookmarkEnd w:id="121"/>
    <w:bookmarkStart w:name="z27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международных (региональных) программах межлабораторных сличений;</w:t>
      </w:r>
    </w:p>
    <w:bookmarkEnd w:id="122"/>
    <w:bookmarkStart w:name="z27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опыта и навыков разработки и аттестации (валидации) методик (методов) испытаний.</w:t>
      </w:r>
    </w:p>
    <w:bookmarkEnd w:id="123"/>
    <w:bookmarkStart w:name="z27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Образец должен быть стабилен в течение всего времени реализации тура программы межлабораторных сличений.</w:t>
      </w:r>
    </w:p>
    <w:bookmarkEnd w:id="124"/>
    <w:bookmarkStart w:name="z27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Количество (объем, масса) образца, предоставляемое каждой лаборатории-участнику, выбирается в зависимости от измеряемых величин и применяемых лабораториями-участниками методик (методов) испытаний и должно быть достаточным для определения измеряемых величин с использованием любой из таких методик (методов).</w:t>
      </w:r>
    </w:p>
    <w:bookmarkEnd w:id="125"/>
    <w:bookmarkStart w:name="z28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Если образец представляет собой оборудование, техническое средство и (или) другие объекты измерений, в отношении которых провайдер подтвердил стабильность измеряемых величин в период реализации тура программы межлабораторных сличений, все лаборатории-участники могут проводить испытания на одном и том же образце. </w:t>
      </w:r>
    </w:p>
    <w:bookmarkEnd w:id="126"/>
    <w:bookmarkStart w:name="z28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Образцы упаковываются согласно требованиям к упаковке образцов (проб), установленным в документах системы менеджмента провайдера, и идентифицируются этикеткой, содержащей обозначение (шифр) образца. Упаковка должна обеспечивать сохранность образцов и стабильность измеряемых величин образцов до момента проведения испытаний, а также возможность пересылки образцов лабораториям-участникам (при необходимости).</w:t>
      </w:r>
    </w:p>
    <w:bookmarkEnd w:id="127"/>
    <w:bookmarkStart w:name="z28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Требования к обработке результатов испытаний и оформлению отчетов</w:t>
      </w:r>
    </w:p>
    <w:bookmarkEnd w:id="128"/>
    <w:bookmarkStart w:name="z28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Статистическая обработка результатов испытаний выполняется провайдером с учетом требований межгосударственных или национальных стандартов государств-членов, идентичных международным стандартам, в том числе ГОСТ ISO/IEC 13528 "Статистические методы, применяемые при проверке квалификации посредством межлабораторных сличений", или с применением других методов статистического анализа. Ответственность за выбор метода статистического анализа несет провайдер.</w:t>
      </w:r>
    </w:p>
    <w:bookmarkEnd w:id="129"/>
    <w:bookmarkStart w:name="z28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Отчет о реализации тура программы межлабораторных сличений оформляется провайдером в соответствии с требованиями ГОСТ ISО/IEC 17043. В отчете провайдер предоставляет комментарии о характеристиках функционирования лабораторий-участников (если это приемлемо для цели программы межлабораторных сличений) в отношении следующих факторов:</w:t>
      </w:r>
    </w:p>
    <w:bookmarkEnd w:id="130"/>
    <w:bookmarkStart w:name="z28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итоговые характеристики функционирования (с учетом неопределенности результатов испытаний);</w:t>
      </w:r>
    </w:p>
    <w:bookmarkEnd w:id="131"/>
    <w:bookmarkStart w:name="z28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диапазон результатов испытаний в лабораториях-участниках и между ними, а также сравнение с результатами предыдущих туров программы межлабораторных сличений;</w:t>
      </w:r>
    </w:p>
    <w:bookmarkEnd w:id="132"/>
    <w:bookmarkStart w:name="z28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различие методик (методов) испытаний;</w:t>
      </w:r>
    </w:p>
    <w:bookmarkEnd w:id="133"/>
    <w:bookmarkStart w:name="z28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возможные источники ошибок (в отношении выбросов) и предложения об улучшении выполнения испытаний; </w:t>
      </w:r>
    </w:p>
    <w:bookmarkEnd w:id="134"/>
    <w:bookmarkStart w:name="z28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консультации и обратная связь с лабораториями-участниками в рамках реализации постоянных процедур, направленных на повышение качества работы лабораторий-участников;</w:t>
      </w:r>
    </w:p>
    <w:bookmarkEnd w:id="135"/>
    <w:bookmarkStart w:name="z29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факторы, которые делают оценку результатов испытаний и предоставление комментариев о характеристиках функционирования лабораторий-участников невозможными;</w:t>
      </w:r>
    </w:p>
    <w:bookmarkEnd w:id="136"/>
    <w:bookmarkStart w:name="z29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любые предложения, рекомендации или общие комментарии; </w:t>
      </w:r>
    </w:p>
    <w:bookmarkEnd w:id="137"/>
    <w:bookmarkStart w:name="z29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выводы о характеристиках функционирования лабораторий-участников;</w:t>
      </w:r>
    </w:p>
    <w:bookmarkEnd w:id="138"/>
    <w:bookmarkStart w:name="z29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иные результаты оценки и комментарии в зависимости от цели реализации тура программы межлабораторных сличений.</w:t>
      </w:r>
    </w:p>
    <w:bookmarkEnd w:id="139"/>
    <w:bookmarkStart w:name="z29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Порядок формирования сводной информации о программах межлабораторных сравнительных испытаний (межлабораторных сличений) с целью проверки квалификации испытательных лабораторий</w:t>
      </w:r>
    </w:p>
    <w:bookmarkEnd w:id="140"/>
    <w:bookmarkStart w:name="z29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Провайдеры ежегодно, до 31 декабря текущего года, представляют в уполномоченный орган информацию о планируемых на следующий год программах межлабораторных сличений по форме согласно приложению № 1 и информацию о выполненных в текущем году программах межлабораторных сличений по форме согласно приложению № 2.</w:t>
      </w:r>
    </w:p>
    <w:bookmarkEnd w:id="141"/>
    <w:bookmarkStart w:name="z13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Уполномоченный орган в рамках выполнения функций по координации межлабораторных сличений осуществляет мониторинг и анализ разработки и результатов реализации программ межлабораторных сличений, а также </w:t>
      </w:r>
      <w:r>
        <w:rPr>
          <w:rFonts w:ascii="Times New Roman"/>
          <w:b w:val="false"/>
          <w:i w:val="false"/>
          <w:color w:val="000000"/>
          <w:sz w:val="28"/>
        </w:rPr>
        <w:t>анализ востребованности испытательными лабораториями таких программ.</w:t>
      </w:r>
    </w:p>
    <w:bookmarkEnd w:id="142"/>
    <w:bookmarkStart w:name="z13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мониторинга и анализа уполномоченный орган запрашивает следующую дополнительную информацию:</w:t>
      </w:r>
    </w:p>
    <w:bookmarkEnd w:id="143"/>
    <w:bookmarkStart w:name="z29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провайдеров – об организации и проведении программ межлабораторных сличений;</w:t>
      </w:r>
    </w:p>
    <w:bookmarkEnd w:id="144"/>
    <w:bookmarkStart w:name="z29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 испытательных лабораторий государства-члена – об участии в межлабораторных сличениях, организованных провайдерами третьих стран (при необходимости). </w:t>
      </w:r>
    </w:p>
    <w:bookmarkEnd w:id="145"/>
    <w:bookmarkStart w:name="z29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 основании анализа уполномоченный орган определяет приоритетные направления программ межлабораторных сличений, формирует предложения о реализации таких программ и разработке новых программ межлабораторных сличений, предоставляет соответствующую информацию заинтересованным лицам, в том числе посредством размещения в информационно-телекоммуникационной сети "Интернет", в порядке, установленном законодательством государства-члена.</w:t>
      </w:r>
    </w:p>
    <w:bookmarkEnd w:id="146"/>
    <w:bookmarkStart w:name="z29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рамках научно-методического обеспечения межлабораторных сличений уполномоченный орган осуществляет организацию:</w:t>
      </w:r>
    </w:p>
    <w:bookmarkEnd w:id="147"/>
    <w:bookmarkStart w:name="z30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методологического сопровождения и выработки предложений по совершенствованию программ межлабораторных сличений по запросу заинтересованных уполномоченных органов и организаций;</w:t>
      </w:r>
    </w:p>
    <w:bookmarkEnd w:id="148"/>
    <w:bookmarkStart w:name="z14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оказания консультативной и методической помощи провайдерам по разработке и реализации программ межлабораторных сличений;</w:t>
      </w:r>
    </w:p>
    <w:bookmarkEnd w:id="149"/>
    <w:bookmarkStart w:name="z14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методических пособий, рекомендаций и процедур для провайдеров по вопросам проведения межлабораторных сличений;</w:t>
      </w:r>
    </w:p>
    <w:bookmarkEnd w:id="150"/>
    <w:bookmarkStart w:name="z14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содействия деятельности научно-исследовательских учреждений и учреждений образования по вопросам подготовки, переподготовки и повышения квалификации работников, выполняющих задачи по разработке программ межлабораторных сличений и их реализации.</w:t>
      </w:r>
    </w:p>
    <w:bookmarkEnd w:id="151"/>
    <w:bookmarkStart w:name="z30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Сводный перечень программ межлабораторных сличений государства-члена с указанием провайдеров, ответственных за проведение программ сличений, формируется уполномоченным органом на основании анализа программ межлабораторных сличений в соответствии с приложением № 1 к настоящему Порядку.</w:t>
      </w:r>
    </w:p>
    <w:bookmarkEnd w:id="152"/>
    <w:bookmarkStart w:name="z30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Сводный отчет о выполненных программах межлабораторных сличений провайдеров государства-члена формируется уполномоченным органом по итогам анализа представленной провайдерами информации и результатов реализации таких программ с указанием провайдеров, ответственных за проведение программ межлабораторных сличений, в соответствии с приложением № 2 к настоящему Порядку.</w:t>
      </w:r>
    </w:p>
    <w:bookmarkEnd w:id="153"/>
    <w:bookmarkStart w:name="z30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Сводный перечень программ межлабораторных сличений и сводный отчет о выполненных программах межлабораторных сличений ежегодно, до 31 января текущего год, направляется в Комиссию для размещения на официальном сайте Комиссии в информационно-телекоммуникационной сети "Интернет".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Способы установления критериев приемлемости для оценки результатов испытаний лабораторий-участников приведены в ГОСТ ISО/IEC 13528 "Статистические методы, применяемые при проверке квалификации посредством межлабораторных сличений". 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 использовании стандартного образца испытания такого образца лабораториями-участниками должны быть проведены в пределах срока его годности.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 случае наличия в документах, регламентирующих отбор образцов, и (или) в методике испытаний ограничений в отношении использования образца, создаваемого на основе стандартного образца, с установленными приписанными значениями измеряемых величин, образца, изготовленного методом добавки или методом разбавления, либо реального образца продукции (при отсутствии стандартных образцов) устанавливают срок годности, в течение которого должны быть проведены испытания этого образца лабораториями-участниками.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 использовании оборудования, технического средства и (или) других объектов измерений в период реализации тура программы межлабораторных сличений приписанные значения измеряемых величин подвергаются промежуточным измерениям стабильности.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межлабораторных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сравнительных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(межлабораторных сличений)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30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 xml:space="preserve">о планируемых на _____ год программах межлабораторных сравнительных испытаний (межлабораторных сличений) с целью проверки квалификации аккредитованных (испытательных) лабораторий (центров), выполняющих работы по оценке соответствия продукции требованиям технических регламентов Евразийского экономического союза и включенных в единый реестр органов </w:t>
      </w:r>
      <w:r>
        <w:br/>
      </w:r>
      <w:r>
        <w:rPr>
          <w:rFonts w:ascii="Times New Roman"/>
          <w:b/>
          <w:i w:val="false"/>
          <w:color w:val="000000"/>
        </w:rPr>
        <w:t>по оценке соответствия Союза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номер технического регламента Евразийского экономического союза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программы межлабораторных сравнительных испытаний (межлабораторных сличений)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Измеряемые величины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методики (методы) испытаний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Субподрядчик, аттестат аккредитации (при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 результатов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Настоящая форма заполняется в следующем порядке:</w:t>
      </w:r>
    </w:p>
    <w:bookmarkEnd w:id="157"/>
    <w:bookmarkStart w:name="z31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в графе 2 указываются наименования и номера технических регламентов Евразийского экономического союза, в отношении которых планируется выполнение программ межлабораторных сравнительных испытаний (межлабораторных сличений) (далее – программы межлабораторных сличений);</w:t>
      </w:r>
    </w:p>
    <w:bookmarkEnd w:id="158"/>
    <w:bookmarkStart w:name="z31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 в графе 3 указывается информация об идентификации программы межлабораторных сличений, определенной провайдером (например, идентификационный номер программы, ее отнесение к техническому регламенту Евразийского экономического союза, код, присвоенный в информационном фонде по обеспечению единства измерений государства – члена Союза согласно законодательству этого государства-члена); </w:t>
      </w:r>
    </w:p>
    <w:bookmarkEnd w:id="159"/>
    <w:bookmarkStart w:name="z31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в графе 4 указывается информация об образце для проверки квалификации, который будет использоваться для выполнения программы межлабораторных сличений;</w:t>
      </w:r>
    </w:p>
    <w:bookmarkEnd w:id="160"/>
    <w:bookmarkStart w:name="z31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в графе 5 указывается информация о характеристиках образца, которые определяются как измеряемые величины;</w:t>
      </w:r>
    </w:p>
    <w:bookmarkEnd w:id="161"/>
    <w:bookmarkStart w:name="z31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в графе 6 указывается планируемый срок реализации тура программы межлабораторных сличений;</w:t>
      </w:r>
    </w:p>
    <w:bookmarkEnd w:id="162"/>
    <w:bookmarkStart w:name="z31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 в графе 7 указываются предполагаемые методики (методы) исследований (испытаний) и измерений, включенные в перечни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регулирования, которые будут использованы при выполнении программы межлабораторных сличений;</w:t>
      </w:r>
    </w:p>
    <w:bookmarkEnd w:id="163"/>
    <w:bookmarkStart w:name="z31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 в графе 8 указываются наименование субподрядчика, выполняющего работы по подготовке образцов, и сведения о его аккредитации (при наличии);</w:t>
      </w:r>
    </w:p>
    <w:bookmarkEnd w:id="164"/>
    <w:bookmarkStart w:name="z31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 в графе 9 указываются критерии, по которым будут оценены характеристики функционирования участников межлабораторных сравнительных испытаний (межлабораторных) сличений.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организации проведения межлабораторных сравнительных испытаний (межлабораторных сличений)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(форма)</w:t>
            </w:r>
          </w:p>
        </w:tc>
      </w:tr>
    </w:tbl>
    <w:bookmarkStart w:name="z32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>о выполненных в _____ году программах межлабораторных сравнительных испытаний (межлабораторных сличений) с целью проверки квалификации аккредитованных (испытательных) лабораторий (центров), выполняющих работы по оценке соответствия продукции требованиям технических регламентов Евразийского экономического союза и включенных в единый реестр органов по оценке соответствия Союза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номер технического регламента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наименование программы межлабораторных сравнительных испытаний (межлабораторных сличений)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Измеряемые величины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 (методы) испытаний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из государств –членов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участия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неудовлетворительных (сомнительных) результатов)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Настоящая форма заполняется в следующем порядке:</w:t>
      </w:r>
    </w:p>
    <w:bookmarkEnd w:id="168"/>
    <w:bookmarkStart w:name="z32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в графе 2 указываются наименования и номера технических регламентов Евразийского экономического союза, в отношении которых выполнены программы межлабораторных сравнительных испытаний (межлабораторных сличений) (далее – программы межлабораторных сличений);</w:t>
      </w:r>
    </w:p>
    <w:bookmarkEnd w:id="169"/>
    <w:bookmarkStart w:name="z32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 в графе 3 указывается информация об идентификации программы межлабораторных сличений, определенной провайдером (например, идентификационный номер программы, ее отнесение к техническому регламенту Евразийского экономического союза, код, присвоенный в информационном фонде по обеспечению единства измерений государства – члена Союза согласно законодательству этого государства-члена); </w:t>
      </w:r>
    </w:p>
    <w:bookmarkEnd w:id="170"/>
    <w:bookmarkStart w:name="z32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в графе 4 указывается информация об образце для проверки квалификации, который использовался для выполнения программы межлабораторных сличений;</w:t>
      </w:r>
    </w:p>
    <w:bookmarkEnd w:id="171"/>
    <w:bookmarkStart w:name="z32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в графе 5 указывается информация о характеристиках образца, которые определялись как измеряемые величины;</w:t>
      </w:r>
    </w:p>
    <w:bookmarkEnd w:id="172"/>
    <w:bookmarkStart w:name="z32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в графе 6 указываются методики (методы) исследований (испытаний) и измерений, включенные в перечни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регулирования, которые были использованы при выполнении программы межлабораторных сличений;</w:t>
      </w:r>
    </w:p>
    <w:bookmarkEnd w:id="173"/>
    <w:bookmarkStart w:name="z33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 в графе 7 указывается общее количество участников межлабораторных сравнительных испытаний (межлабораторных сличений);</w:t>
      </w:r>
    </w:p>
    <w:bookmarkEnd w:id="174"/>
    <w:bookmarkStart w:name="z33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 в графе 8 указывается количество участников межлабораторных сравнительных испытаний (межлабораторных сличений), получивших неудовлетворительные (сомнительные) результаты оценки характеристик функционирования, и количество участников таких испытаний, которые получили замечания по результатам участия в программе межлабораторных сличений.".</w:t>
      </w:r>
    </w:p>
    <w:bookmarkEnd w:id="1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