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ae2d" w14:textId="2a5a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 Порядка обмена информацией между уполномоченными органами государств – членов Евразийского экономического союза и Евразийской экономической комиссией в целях проведения согласованной 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156.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взаимодействия между уполномоченными органами государств – членов Евразийского экономического союза и Евразийской экономической комиссией при проведении согласованной макроэкономической политики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Подпункты "ж" – "и"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обмена информацией между уполномоченными органами государств – членов Евразийского экономического союза и Евразийской экономической комиссией в целях проведения согласованной макроэкономической политики, утвержденного Решением Коллегии Евразийской экономической комиссии от 2 июня 2016 г. № 59,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"ж) основные ориентиры макроэкономической политики государств-членов (1 раз в 2 года);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отчет о реализации основных ориентиров макроэкономической политики государств-членов (1 раз в 2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перечень мероприятий по реализации основных ориентиров макроэкономической политики государств-членов (1 раз в 2 года);".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