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6ba4" w14:textId="97d6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октября 2022 года № 144.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регулирования, утвержденный Решением Комиссии Таможенного союза от 23 сентября 2011 г. № 798,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185 в графе 3 обозначение "KZ.А.01.0602 *" заменить обозначением "KZ.06.01.00197-2020*";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позициями 186 – 188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0003-2021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е-капролактама, выделяемого из изделий из полиамидов, в водной и воздушной средах. Методика измерений методом высокоэффективной жидкостной хроматографии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BY 00221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29.09.2021; 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0002-2021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бенз(а)пирена, выделяемого из изделий из парафинов, восков и резино-латексных композиций, в водной и воздушной средах. Методика измерений методом высокоэффективной жидкостной хроматографии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BY 00121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29.09.2021; 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KZ.06.04.00001-2021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уровня миграции, выраженного в единицах массовой концентрации, в водные и воздушные среды ацетофенона, содержащегося в изделиях из резино-латексных композиций, а также полистирола и сополимеров стирола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об аттестации № 2 от 21.10.2021;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