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5e28" w14:textId="a405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21 приложения №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августа 2022 года № 111.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после абзаца шестого дополнить абзацем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"123,2 МГц +/– 0,32 % или 122,8 – 123,59 МГц;";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дополнить абзацем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"298 МГц + 2,35 %/– 11,08 % или 264,98 – 305 МГц.".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