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2c2e" w14:textId="80c2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Инструкции по организации, обеспечению функционирования и безопасности каналов передачи данных в интегрированной информационной системе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июля 2022 года № 99.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 декабря 2021 г. № 139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первом подпункта "а", в подпункте "б" и в абзаце первом подпункта "в"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16 апреля 2019 г. № 61 "О переходных положениях технического регламента Евразийского экономического союза "О безопасности алкогольной продукции" (ТР ЕАЭС 047/2018)" слова "9 января 2024 г." заменить словами "1 января 2027 г.".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