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924b7" w14:textId="dc924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отсутствии нарушения общих правил конкуренции на трансграничных рынках</w:t>
      </w:r>
    </w:p>
    <w:p>
      <w:pPr>
        <w:spacing w:after="0"/>
        <w:ind w:left="0"/>
        <w:jc w:val="both"/>
      </w:pPr>
      <w:r>
        <w:rPr>
          <w:rFonts w:ascii="Times New Roman"/>
          <w:b w:val="false"/>
          <w:i w:val="false"/>
          <w:color w:val="000000"/>
          <w:sz w:val="28"/>
        </w:rPr>
        <w:t>Решение Коллегии Евразийской экономической комиссии от 5 апреля 2022 года № 55</w:t>
      </w:r>
    </w:p>
    <w:p>
      <w:pPr>
        <w:spacing w:after="0"/>
        <w:ind w:left="0"/>
        <w:jc w:val="both"/>
      </w:pPr>
      <w:bookmarkStart w:name="z4" w:id="0"/>
      <w:r>
        <w:rPr>
          <w:rFonts w:ascii="Times New Roman"/>
          <w:b w:val="false"/>
          <w:i w:val="false"/>
          <w:color w:val="000000"/>
          <w:sz w:val="28"/>
        </w:rPr>
        <w:t xml:space="preserve">
      Коллегия Евразийской экономической комиссии (далее – Комиссия)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10 Протокола об общих принципах и правилах конкуренции (приложение № 19 к Договору о Евразийском экономическом союзе от 29 мая 2014 года) (далее соответственно – Протокол, Договор), </w:t>
      </w:r>
      <w:r>
        <w:rPr>
          <w:rFonts w:ascii="Times New Roman"/>
          <w:b w:val="false"/>
          <w:i w:val="false"/>
          <w:color w:val="000000"/>
          <w:sz w:val="28"/>
        </w:rPr>
        <w:t>пунктами 44</w:t>
      </w:r>
      <w:r>
        <w:rPr>
          <w:rFonts w:ascii="Times New Roman"/>
          <w:b w:val="false"/>
          <w:i w:val="false"/>
          <w:color w:val="000000"/>
          <w:sz w:val="28"/>
        </w:rPr>
        <w:t xml:space="preserve"> и </w:t>
      </w:r>
      <w:r>
        <w:rPr>
          <w:rFonts w:ascii="Times New Roman"/>
          <w:b w:val="false"/>
          <w:i w:val="false"/>
          <w:color w:val="000000"/>
          <w:sz w:val="28"/>
        </w:rPr>
        <w:t xml:space="preserve">45 </w:t>
      </w:r>
      <w:r>
        <w:rPr>
          <w:rFonts w:ascii="Times New Roman"/>
          <w:b w:val="false"/>
          <w:i w:val="false"/>
          <w:color w:val="000000"/>
          <w:sz w:val="28"/>
        </w:rPr>
        <w:t>Порядка рассмотрения дел о нарушении общих правил конкуренции на трансграничных рынках, утвержденного Решением Совета Евразийской экономической комиссии от 23 ноября 2012 г. № 99 (далее – Порядок рассмотрения дел), рассмотрела вопрос о нарушении общих правил конкуренции на трансграничных рынках по делу о нарушении общих правил конкуренции на трансграничных рынках, возбужденному 11 марта 2021 г., по результатам расследования нарушения общих правил конкуренции на трансграничных рынках в отношении следующих лиц (далее – дело, ответчики):</w:t>
      </w:r>
    </w:p>
    <w:bookmarkEnd w:id="0"/>
    <w:bookmarkStart w:name="z5" w:id="1"/>
    <w:p>
      <w:pPr>
        <w:spacing w:after="0"/>
        <w:ind w:left="0"/>
        <w:jc w:val="both"/>
      </w:pPr>
      <w:r>
        <w:rPr>
          <w:rFonts w:ascii="Times New Roman"/>
          <w:b w:val="false"/>
          <w:i w:val="false"/>
          <w:color w:val="000000"/>
          <w:sz w:val="28"/>
        </w:rPr>
        <w:t>
      группа лиц в составе открытого акционерного общества "Белорусская лесная компания" (Республика Беларусь, г. Минск, ул. Домбровская, д. 9, оф. 2.2.1, УНП 190119648) (далее – ОАО "БЛК") и открытого акционерного общества "Мозырский ДОК" (Республика Беларусь, Гомельская обл., Мозырский р-н, г. Мозырь, ул. Социалистическая, д. 120а, УНП 490617960) (далее – ОАО "Мозырский ДОК");</w:t>
      </w:r>
    </w:p>
    <w:bookmarkEnd w:id="1"/>
    <w:bookmarkStart w:name="z6" w:id="2"/>
    <w:p>
      <w:pPr>
        <w:spacing w:after="0"/>
        <w:ind w:left="0"/>
        <w:jc w:val="both"/>
      </w:pPr>
      <w:r>
        <w:rPr>
          <w:rFonts w:ascii="Times New Roman"/>
          <w:b w:val="false"/>
          <w:i w:val="false"/>
          <w:color w:val="000000"/>
          <w:sz w:val="28"/>
        </w:rPr>
        <w:t>
      общество с ограниченной ответственностью "Торговый дом "ЦСК" (Российская Федерация, Московская обл., г. о. Одинцовский, г. Одинцово, ул. Маршала Неделина, д. 6а, эт. 7, ИНН 5047184546) (далее – ООО "ТД "ЦСК");</w:t>
      </w:r>
    </w:p>
    <w:bookmarkEnd w:id="2"/>
    <w:bookmarkStart w:name="z7" w:id="3"/>
    <w:p>
      <w:pPr>
        <w:spacing w:after="0"/>
        <w:ind w:left="0"/>
        <w:jc w:val="both"/>
      </w:pPr>
      <w:r>
        <w:rPr>
          <w:rFonts w:ascii="Times New Roman"/>
          <w:b w:val="false"/>
          <w:i w:val="false"/>
          <w:color w:val="000000"/>
          <w:sz w:val="28"/>
        </w:rPr>
        <w:t>
      директор ОАО "Мозырский ДОК" Лукьяненко А. Н.;</w:t>
      </w:r>
    </w:p>
    <w:bookmarkEnd w:id="3"/>
    <w:bookmarkStart w:name="z8" w:id="4"/>
    <w:p>
      <w:pPr>
        <w:spacing w:after="0"/>
        <w:ind w:left="0"/>
        <w:jc w:val="both"/>
      </w:pPr>
      <w:r>
        <w:rPr>
          <w:rFonts w:ascii="Times New Roman"/>
          <w:b w:val="false"/>
          <w:i w:val="false"/>
          <w:color w:val="000000"/>
          <w:sz w:val="28"/>
        </w:rPr>
        <w:t>
      директор ОАО "БЛК" Сюльжин А. Р.;</w:t>
      </w:r>
    </w:p>
    <w:bookmarkEnd w:id="4"/>
    <w:bookmarkStart w:name="z9" w:id="5"/>
    <w:p>
      <w:pPr>
        <w:spacing w:after="0"/>
        <w:ind w:left="0"/>
        <w:jc w:val="both"/>
      </w:pPr>
      <w:r>
        <w:rPr>
          <w:rFonts w:ascii="Times New Roman"/>
          <w:b w:val="false"/>
          <w:i w:val="false"/>
          <w:color w:val="000000"/>
          <w:sz w:val="28"/>
        </w:rPr>
        <w:t>
      исполняющий обязанности директора ОАО "БЛК" Сысоев Г. А.;</w:t>
      </w:r>
    </w:p>
    <w:bookmarkEnd w:id="5"/>
    <w:bookmarkStart w:name="z10" w:id="6"/>
    <w:p>
      <w:pPr>
        <w:spacing w:after="0"/>
        <w:ind w:left="0"/>
        <w:jc w:val="both"/>
      </w:pPr>
      <w:r>
        <w:rPr>
          <w:rFonts w:ascii="Times New Roman"/>
          <w:b w:val="false"/>
          <w:i w:val="false"/>
          <w:color w:val="000000"/>
          <w:sz w:val="28"/>
        </w:rPr>
        <w:t>
      исполняющая обязанности директора ОАО "БЛК" Орлова А. В.;</w:t>
      </w:r>
    </w:p>
    <w:bookmarkEnd w:id="6"/>
    <w:bookmarkStart w:name="z11" w:id="7"/>
    <w:p>
      <w:pPr>
        <w:spacing w:after="0"/>
        <w:ind w:left="0"/>
        <w:jc w:val="both"/>
      </w:pPr>
      <w:r>
        <w:rPr>
          <w:rFonts w:ascii="Times New Roman"/>
          <w:b w:val="false"/>
          <w:i w:val="false"/>
          <w:color w:val="000000"/>
          <w:sz w:val="28"/>
        </w:rPr>
        <w:t>
      генеральный директор ООО "ТД "ЦСК" Соломахо И. Л.,</w:t>
      </w:r>
    </w:p>
    <w:bookmarkEnd w:id="7"/>
    <w:bookmarkStart w:name="z12" w:id="8"/>
    <w:p>
      <w:pPr>
        <w:spacing w:after="0"/>
        <w:ind w:left="0"/>
        <w:jc w:val="both"/>
      </w:pPr>
      <w:r>
        <w:rPr>
          <w:rFonts w:ascii="Times New Roman"/>
          <w:b w:val="false"/>
          <w:i w:val="false"/>
          <w:color w:val="000000"/>
          <w:sz w:val="28"/>
        </w:rPr>
        <w:t>
      проведенного на основании заявления общества с ограниченной ответственностью "Альфа Грин" (Российская Федерация, Республика Татарстан, г. Казань, ул. Братьев Петряевых, д. 5, оф. 208, ИНН 1659142802) (далее – ООО "Альфа Грин").</w:t>
      </w:r>
    </w:p>
    <w:bookmarkEnd w:id="8"/>
    <w:bookmarkStart w:name="z13" w:id="9"/>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23</w:t>
      </w:r>
      <w:r>
        <w:rPr>
          <w:rFonts w:ascii="Times New Roman"/>
          <w:b w:val="false"/>
          <w:i w:val="false"/>
          <w:color w:val="000000"/>
          <w:sz w:val="28"/>
        </w:rPr>
        <w:t xml:space="preserve"> Порядка рассмотрения дел 3 сентября 2021 г. председателем комиссии по рассмотрению дела –директором Департамента антимонопольного регулирования Комиссии (далее – Департамент) Сушкевичем А. Г. объявлено об окончании рассмотрения дела в присутствии:</w:t>
      </w:r>
    </w:p>
    <w:bookmarkEnd w:id="9"/>
    <w:bookmarkStart w:name="z14" w:id="10"/>
    <w:p>
      <w:pPr>
        <w:spacing w:after="0"/>
        <w:ind w:left="0"/>
        <w:jc w:val="both"/>
      </w:pPr>
      <w:r>
        <w:rPr>
          <w:rFonts w:ascii="Times New Roman"/>
          <w:b w:val="false"/>
          <w:i w:val="false"/>
          <w:color w:val="000000"/>
          <w:sz w:val="28"/>
        </w:rPr>
        <w:t>
      заместителя председателя комиссии по рассмотрению дела Калиева А. А., заместителя директора Департамента;</w:t>
      </w:r>
    </w:p>
    <w:bookmarkEnd w:id="10"/>
    <w:bookmarkStart w:name="z15" w:id="11"/>
    <w:p>
      <w:pPr>
        <w:spacing w:after="0"/>
        <w:ind w:left="0"/>
        <w:jc w:val="both"/>
      </w:pPr>
      <w:r>
        <w:rPr>
          <w:rFonts w:ascii="Times New Roman"/>
          <w:b w:val="false"/>
          <w:i w:val="false"/>
          <w:color w:val="000000"/>
          <w:sz w:val="28"/>
        </w:rPr>
        <w:t>
      членов комиссии по рассмотрению дела:</w:t>
      </w:r>
    </w:p>
    <w:bookmarkEnd w:id="11"/>
    <w:bookmarkStart w:name="z16" w:id="12"/>
    <w:p>
      <w:pPr>
        <w:spacing w:after="0"/>
        <w:ind w:left="0"/>
        <w:jc w:val="both"/>
      </w:pPr>
      <w:r>
        <w:rPr>
          <w:rFonts w:ascii="Times New Roman"/>
          <w:b w:val="false"/>
          <w:i w:val="false"/>
          <w:color w:val="000000"/>
          <w:sz w:val="28"/>
        </w:rPr>
        <w:t>
      Щербакова А. М., советника отдела расследований антиконкурентных соглашений и методологии Департамента;</w:t>
      </w:r>
    </w:p>
    <w:bookmarkEnd w:id="12"/>
    <w:bookmarkStart w:name="z17" w:id="13"/>
    <w:p>
      <w:pPr>
        <w:spacing w:after="0"/>
        <w:ind w:left="0"/>
        <w:jc w:val="both"/>
      </w:pPr>
      <w:r>
        <w:rPr>
          <w:rFonts w:ascii="Times New Roman"/>
          <w:b w:val="false"/>
          <w:i w:val="false"/>
          <w:color w:val="000000"/>
          <w:sz w:val="28"/>
        </w:rPr>
        <w:t>
      Абдылдаевой А. Б., консультанта отдела рассмотрения заявлений (материалов) и дел о нарушении общих правил конкуренции Департамента;</w:t>
      </w:r>
    </w:p>
    <w:bookmarkEnd w:id="13"/>
    <w:bookmarkStart w:name="z18" w:id="14"/>
    <w:p>
      <w:pPr>
        <w:spacing w:after="0"/>
        <w:ind w:left="0"/>
        <w:jc w:val="both"/>
      </w:pPr>
      <w:r>
        <w:rPr>
          <w:rFonts w:ascii="Times New Roman"/>
          <w:b w:val="false"/>
          <w:i w:val="false"/>
          <w:color w:val="000000"/>
          <w:sz w:val="28"/>
        </w:rPr>
        <w:t>
      посредством видео-конференц-связи:</w:t>
      </w:r>
    </w:p>
    <w:bookmarkEnd w:id="14"/>
    <w:bookmarkStart w:name="z19" w:id="15"/>
    <w:p>
      <w:pPr>
        <w:spacing w:after="0"/>
        <w:ind w:left="0"/>
        <w:jc w:val="both"/>
      </w:pPr>
      <w:r>
        <w:rPr>
          <w:rFonts w:ascii="Times New Roman"/>
          <w:b w:val="false"/>
          <w:i w:val="false"/>
          <w:color w:val="000000"/>
          <w:sz w:val="28"/>
        </w:rPr>
        <w:t>
      Войно А. В., начальника Управления торговли, агропромышленного комплекса, промышленности, строительства и природных ресурсов Министерства антимонопольного регулирования и торговли Республики Беларусь;</w:t>
      </w:r>
    </w:p>
    <w:bookmarkEnd w:id="15"/>
    <w:bookmarkStart w:name="z20" w:id="16"/>
    <w:p>
      <w:pPr>
        <w:spacing w:after="0"/>
        <w:ind w:left="0"/>
        <w:jc w:val="both"/>
      </w:pPr>
      <w:r>
        <w:rPr>
          <w:rFonts w:ascii="Times New Roman"/>
          <w:b w:val="false"/>
          <w:i w:val="false"/>
          <w:color w:val="000000"/>
          <w:sz w:val="28"/>
        </w:rPr>
        <w:t>
      представителей ответчиков:</w:t>
      </w:r>
    </w:p>
    <w:bookmarkEnd w:id="16"/>
    <w:bookmarkStart w:name="z21" w:id="17"/>
    <w:p>
      <w:pPr>
        <w:spacing w:after="0"/>
        <w:ind w:left="0"/>
        <w:jc w:val="both"/>
      </w:pPr>
      <w:r>
        <w:rPr>
          <w:rFonts w:ascii="Times New Roman"/>
          <w:b w:val="false"/>
          <w:i w:val="false"/>
          <w:color w:val="000000"/>
          <w:sz w:val="28"/>
        </w:rPr>
        <w:t>
      Шаршковой У. Л., представителя ОАО "БЛК" по доверенности № 21 от 4 июля 2019 г.;</w:t>
      </w:r>
    </w:p>
    <w:bookmarkEnd w:id="17"/>
    <w:bookmarkStart w:name="z22" w:id="18"/>
    <w:p>
      <w:pPr>
        <w:spacing w:after="0"/>
        <w:ind w:left="0"/>
        <w:jc w:val="both"/>
      </w:pPr>
      <w:r>
        <w:rPr>
          <w:rFonts w:ascii="Times New Roman"/>
          <w:b w:val="false"/>
          <w:i w:val="false"/>
          <w:color w:val="000000"/>
          <w:sz w:val="28"/>
        </w:rPr>
        <w:t>
      Карасевой Т. Б., представителя ОАО "Мозырский ДОК" по доверенности № 29/1 от 15 марта 2021 г.;</w:t>
      </w:r>
    </w:p>
    <w:bookmarkEnd w:id="18"/>
    <w:bookmarkStart w:name="z23" w:id="19"/>
    <w:p>
      <w:pPr>
        <w:spacing w:after="0"/>
        <w:ind w:left="0"/>
        <w:jc w:val="both"/>
      </w:pPr>
      <w:r>
        <w:rPr>
          <w:rFonts w:ascii="Times New Roman"/>
          <w:b w:val="false"/>
          <w:i w:val="false"/>
          <w:color w:val="000000"/>
          <w:sz w:val="28"/>
        </w:rPr>
        <w:t>
      Галицкой А. М., представителя ООО "ТД "ЦСК" по доверенности № 122 от 31 марта 2021 г.;</w:t>
      </w:r>
    </w:p>
    <w:bookmarkEnd w:id="19"/>
    <w:bookmarkStart w:name="z24" w:id="20"/>
    <w:p>
      <w:pPr>
        <w:spacing w:after="0"/>
        <w:ind w:left="0"/>
        <w:jc w:val="both"/>
      </w:pPr>
      <w:r>
        <w:rPr>
          <w:rFonts w:ascii="Times New Roman"/>
          <w:b w:val="false"/>
          <w:i w:val="false"/>
          <w:color w:val="000000"/>
          <w:sz w:val="28"/>
        </w:rPr>
        <w:t>
      Лобанова Д. А., представителя ООО "Альфа Грин" – директора ООО "Альфа Грин".</w:t>
      </w:r>
    </w:p>
    <w:bookmarkEnd w:id="20"/>
    <w:bookmarkStart w:name="z25" w:id="21"/>
    <w:p>
      <w:pPr>
        <w:spacing w:after="0"/>
        <w:ind w:left="0"/>
        <w:jc w:val="both"/>
      </w:pPr>
      <w:r>
        <w:rPr>
          <w:rFonts w:ascii="Times New Roman"/>
          <w:b w:val="false"/>
          <w:i w:val="false"/>
          <w:color w:val="000000"/>
          <w:sz w:val="28"/>
        </w:rPr>
        <w:t xml:space="preserve">
      По результатам рассмотрения дела установлено следующее. </w:t>
      </w:r>
    </w:p>
    <w:bookmarkEnd w:id="21"/>
    <w:bookmarkStart w:name="z26" w:id="2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Порядка рассмотрения заявлений (материалов) о нарушении общих правил конкуренции на трансграничных рынках, утвержденного Решением Совета Евразийской экономической комиссии от 23 ноября 2012 г. № 97 (далее – Порядок рассмотрения заявлений), Комиссией принято в производство заявление ООО "Альфа Грин" от 30 апреля 2020 г. № б/н (вх. № 6878 от 14 мая 2020 г.) о возможных признаках нарушения статьи 76 Договора, выраженных, по мнению ООО "Альфа Грин", в действиях ОАО "Мозырский ДОК", ОАО "БЛК", ООО "ТД "ЦСК" по предоставлению эксклюзивных прав на реализацию продукции на территории Российской Федерации ООО "ТД "ЦСК" (далее – заявление). </w:t>
      </w:r>
    </w:p>
    <w:bookmarkEnd w:id="22"/>
    <w:bookmarkStart w:name="z27" w:id="23"/>
    <w:p>
      <w:pPr>
        <w:spacing w:after="0"/>
        <w:ind w:left="0"/>
        <w:jc w:val="both"/>
      </w:pPr>
      <w:r>
        <w:rPr>
          <w:rFonts w:ascii="Times New Roman"/>
          <w:b w:val="false"/>
          <w:i w:val="false"/>
          <w:color w:val="000000"/>
          <w:sz w:val="28"/>
        </w:rPr>
        <w:t xml:space="preserve">
      В соответствии с пунктом 13 Порядка рассмотрения заявлений уполномоченные органы государств – членов Евразийского экономического союза (далее – государства-члены), в компетенцию которых входят реализация и (или) проведение конкурентной (антимонопольной) политики, представили в Комиссию предложения о кандидатурах сотрудников, ответственных за взаимодействие с Комиссией при проведении ею расследования. </w:t>
      </w:r>
    </w:p>
    <w:bookmarkEnd w:id="23"/>
    <w:bookmarkStart w:name="z28" w:id="24"/>
    <w:p>
      <w:pPr>
        <w:spacing w:after="0"/>
        <w:ind w:left="0"/>
        <w:jc w:val="both"/>
      </w:pPr>
      <w:r>
        <w:rPr>
          <w:rFonts w:ascii="Times New Roman"/>
          <w:b w:val="false"/>
          <w:i w:val="false"/>
          <w:color w:val="000000"/>
          <w:sz w:val="28"/>
        </w:rPr>
        <w:t xml:space="preserve">
      В рамках рассмотрения заявления в соответствии с </w:t>
      </w:r>
      <w:r>
        <w:rPr>
          <w:rFonts w:ascii="Times New Roman"/>
          <w:b w:val="false"/>
          <w:i w:val="false"/>
          <w:color w:val="000000"/>
          <w:sz w:val="28"/>
        </w:rPr>
        <w:t>пунктами 131</w:t>
      </w:r>
      <w:r>
        <w:rPr>
          <w:rFonts w:ascii="Times New Roman"/>
          <w:b w:val="false"/>
          <w:i w:val="false"/>
          <w:color w:val="000000"/>
          <w:sz w:val="28"/>
        </w:rPr>
        <w:t xml:space="preserve"> – </w:t>
      </w:r>
      <w:r>
        <w:rPr>
          <w:rFonts w:ascii="Times New Roman"/>
          <w:b w:val="false"/>
          <w:i w:val="false"/>
          <w:color w:val="000000"/>
          <w:sz w:val="28"/>
        </w:rPr>
        <w:t>1311</w:t>
      </w:r>
      <w:r>
        <w:rPr>
          <w:rFonts w:ascii="Times New Roman"/>
          <w:b w:val="false"/>
          <w:i w:val="false"/>
          <w:color w:val="000000"/>
          <w:sz w:val="28"/>
        </w:rPr>
        <w:t xml:space="preserve"> Порядка рассмотрения заявлений проведены процедуры по разработке и согласованию проекта предложения о совершении действий, направленных на устранение признаков нарушения общих правил конкуренции и обеспечение конкуренции на трансграничных рынках, и два согласительных совещания (10 июня и 5 августа 2020 г.), по результатам которых проект предложения не согласован.</w:t>
      </w:r>
    </w:p>
    <w:bookmarkEnd w:id="24"/>
    <w:bookmarkStart w:name="z29" w:id="25"/>
    <w:p>
      <w:pPr>
        <w:spacing w:after="0"/>
        <w:ind w:left="0"/>
        <w:jc w:val="both"/>
      </w:pPr>
      <w:r>
        <w:rPr>
          <w:rFonts w:ascii="Times New Roman"/>
          <w:b w:val="false"/>
          <w:i w:val="false"/>
          <w:color w:val="000000"/>
          <w:sz w:val="28"/>
        </w:rPr>
        <w:t xml:space="preserve">
      По результатам рассмотрения заявления и прилагаемых к нему материалов, информации (документов, сведений, пояснений) (далее – информация), а также в связи с возможным наличием признаков нарушения </w:t>
      </w:r>
      <w:r>
        <w:rPr>
          <w:rFonts w:ascii="Times New Roman"/>
          <w:b w:val="false"/>
          <w:i w:val="false"/>
          <w:color w:val="000000"/>
          <w:sz w:val="28"/>
        </w:rPr>
        <w:t>пунктов 1</w:t>
      </w:r>
      <w:r>
        <w:rPr>
          <w:rFonts w:ascii="Times New Roman"/>
          <w:b w:val="false"/>
          <w:i w:val="false"/>
          <w:color w:val="000000"/>
          <w:sz w:val="28"/>
        </w:rPr>
        <w:t xml:space="preserve"> –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76 Договора и в соответствии с </w:t>
      </w:r>
      <w:r>
        <w:rPr>
          <w:rFonts w:ascii="Times New Roman"/>
          <w:b w:val="false"/>
          <w:i w:val="false"/>
          <w:color w:val="000000"/>
          <w:sz w:val="28"/>
        </w:rPr>
        <w:t>Протоколом</w:t>
      </w:r>
      <w:r>
        <w:rPr>
          <w:rFonts w:ascii="Times New Roman"/>
          <w:b w:val="false"/>
          <w:i w:val="false"/>
          <w:color w:val="000000"/>
          <w:sz w:val="28"/>
        </w:rPr>
        <w:t xml:space="preserve">, </w:t>
      </w:r>
      <w:r>
        <w:rPr>
          <w:rFonts w:ascii="Times New Roman"/>
          <w:b w:val="false"/>
          <w:i w:val="false"/>
          <w:color w:val="000000"/>
          <w:sz w:val="28"/>
        </w:rPr>
        <w:t>Порядком</w:t>
      </w:r>
      <w:r>
        <w:rPr>
          <w:rFonts w:ascii="Times New Roman"/>
          <w:b w:val="false"/>
          <w:i w:val="false"/>
          <w:color w:val="000000"/>
          <w:sz w:val="28"/>
        </w:rPr>
        <w:t xml:space="preserve"> рассмотрения заявлений, </w:t>
      </w:r>
      <w:r>
        <w:rPr>
          <w:rFonts w:ascii="Times New Roman"/>
          <w:b w:val="false"/>
          <w:i w:val="false"/>
          <w:color w:val="000000"/>
          <w:sz w:val="28"/>
        </w:rPr>
        <w:t>Порядком</w:t>
      </w:r>
      <w:r>
        <w:rPr>
          <w:rFonts w:ascii="Times New Roman"/>
          <w:b w:val="false"/>
          <w:i w:val="false"/>
          <w:color w:val="000000"/>
          <w:sz w:val="28"/>
        </w:rPr>
        <w:t xml:space="preserve"> проведения расследования нарушений общих правил конкуренции на трансграничных рынках, утвержденным Решением Совета Евразийской экономической комиссии от 23 ноября 2012 г. № 98 (далее – Порядок проведения расследования), и </w:t>
      </w:r>
      <w:r>
        <w:rPr>
          <w:rFonts w:ascii="Times New Roman"/>
          <w:b w:val="false"/>
          <w:i w:val="false"/>
          <w:color w:val="000000"/>
          <w:sz w:val="28"/>
        </w:rPr>
        <w:t>пунктом 1</w:t>
      </w:r>
      <w:r>
        <w:rPr>
          <w:rFonts w:ascii="Times New Roman"/>
          <w:b w:val="false"/>
          <w:i w:val="false"/>
          <w:color w:val="000000"/>
          <w:sz w:val="28"/>
        </w:rPr>
        <w:t xml:space="preserve"> Решения Коллегии Евразийской экономической комиссии от 14 мая 2013 г. № 112 Комиссия вынесла определение о проведении расследования нарушений общих правил конкуренции на трансграничных рынках от 7 августа 2020 г. № 54/опр (далее – расследование) и провела соответствующее расследование. </w:t>
      </w:r>
    </w:p>
    <w:bookmarkEnd w:id="25"/>
    <w:bookmarkStart w:name="z30" w:id="26"/>
    <w:p>
      <w:pPr>
        <w:spacing w:after="0"/>
        <w:ind w:left="0"/>
        <w:jc w:val="both"/>
      </w:pPr>
      <w:r>
        <w:rPr>
          <w:rFonts w:ascii="Times New Roman"/>
          <w:b w:val="false"/>
          <w:i w:val="false"/>
          <w:color w:val="000000"/>
          <w:sz w:val="28"/>
        </w:rPr>
        <w:t xml:space="preserve">
      В связи с недостаточностью сведений, позволяющих сделать вывод о наличии или отсутствии признаков нарушения общих правил конкуренции на трансграничных рынках, Комиссия в соответствии с </w:t>
      </w:r>
      <w:r>
        <w:rPr>
          <w:rFonts w:ascii="Times New Roman"/>
          <w:b w:val="false"/>
          <w:i w:val="false"/>
          <w:color w:val="000000"/>
          <w:sz w:val="28"/>
        </w:rPr>
        <w:t>пунктом 6</w:t>
      </w:r>
      <w:r>
        <w:rPr>
          <w:rFonts w:ascii="Times New Roman"/>
          <w:b w:val="false"/>
          <w:i w:val="false"/>
          <w:color w:val="000000"/>
          <w:sz w:val="28"/>
        </w:rPr>
        <w:t xml:space="preserve"> Порядка проведения расследования определением о продлении срока проведения расследования от 2 декабря 2020 г. № 90/опр продлила срок проведения расследования на 60 рабочих дней.</w:t>
      </w:r>
    </w:p>
    <w:bookmarkEnd w:id="26"/>
    <w:bookmarkStart w:name="z31" w:id="27"/>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Протоколом</w:t>
      </w:r>
      <w:r>
        <w:rPr>
          <w:rFonts w:ascii="Times New Roman"/>
          <w:b w:val="false"/>
          <w:i w:val="false"/>
          <w:color w:val="000000"/>
          <w:sz w:val="28"/>
        </w:rPr>
        <w:t xml:space="preserve">, </w:t>
      </w:r>
      <w:r>
        <w:rPr>
          <w:rFonts w:ascii="Times New Roman"/>
          <w:b w:val="false"/>
          <w:i w:val="false"/>
          <w:color w:val="000000"/>
          <w:sz w:val="28"/>
        </w:rPr>
        <w:t>Порядком</w:t>
      </w:r>
      <w:r>
        <w:rPr>
          <w:rFonts w:ascii="Times New Roman"/>
          <w:b w:val="false"/>
          <w:i w:val="false"/>
          <w:color w:val="000000"/>
          <w:sz w:val="28"/>
        </w:rPr>
        <w:t xml:space="preserve"> проведения расследования и </w:t>
      </w:r>
      <w:r>
        <w:rPr>
          <w:rFonts w:ascii="Times New Roman"/>
          <w:b w:val="false"/>
          <w:i w:val="false"/>
          <w:color w:val="000000"/>
          <w:sz w:val="28"/>
        </w:rPr>
        <w:t>Методикой</w:t>
      </w:r>
      <w:r>
        <w:rPr>
          <w:rFonts w:ascii="Times New Roman"/>
          <w:b w:val="false"/>
          <w:i w:val="false"/>
          <w:color w:val="000000"/>
          <w:sz w:val="28"/>
        </w:rPr>
        <w:t xml:space="preserve"> оценки состояния конкуренции, утвержденной Решением Совета Евразийской экономической комиссии от 30 января 2013 г. № 7 (далее – Методика), Департаментом в ходе расследования запрошена информация в письменной форме у органов государств-членов, физических и юридических лиц по фактам, изложенным в заявлении.</w:t>
      </w:r>
    </w:p>
    <w:bookmarkEnd w:id="27"/>
    <w:bookmarkStart w:name="z32" w:id="28"/>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пункту 4</w:t>
      </w:r>
      <w:r>
        <w:rPr>
          <w:rFonts w:ascii="Times New Roman"/>
          <w:b w:val="false"/>
          <w:i w:val="false"/>
          <w:color w:val="000000"/>
          <w:sz w:val="28"/>
        </w:rPr>
        <w:t xml:space="preserve"> Методики при расследовании нарушений запретов, установленных </w:t>
      </w:r>
      <w:r>
        <w:rPr>
          <w:rFonts w:ascii="Times New Roman"/>
          <w:b w:val="false"/>
          <w:i w:val="false"/>
          <w:color w:val="000000"/>
          <w:sz w:val="28"/>
        </w:rPr>
        <w:t>пунктами 3</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76 Договора, оценка состояния конкуренции может осуществляться с исключением этапов, предусмотренных подпунктами "е" – "и" </w:t>
      </w:r>
      <w:r>
        <w:rPr>
          <w:rFonts w:ascii="Times New Roman"/>
          <w:b w:val="false"/>
          <w:i w:val="false"/>
          <w:color w:val="000000"/>
          <w:sz w:val="28"/>
        </w:rPr>
        <w:t>пункта 3</w:t>
      </w:r>
      <w:r>
        <w:rPr>
          <w:rFonts w:ascii="Times New Roman"/>
          <w:b w:val="false"/>
          <w:i w:val="false"/>
          <w:color w:val="000000"/>
          <w:sz w:val="28"/>
        </w:rPr>
        <w:t xml:space="preserve"> Методики. </w:t>
      </w:r>
    </w:p>
    <w:bookmarkEnd w:id="28"/>
    <w:bookmarkStart w:name="z33" w:id="29"/>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11</w:t>
      </w:r>
      <w:r>
        <w:rPr>
          <w:rFonts w:ascii="Times New Roman"/>
          <w:b w:val="false"/>
          <w:i w:val="false"/>
          <w:color w:val="000000"/>
          <w:sz w:val="28"/>
        </w:rPr>
        <w:t xml:space="preserve"> Протокола и </w:t>
      </w:r>
      <w:r>
        <w:rPr>
          <w:rFonts w:ascii="Times New Roman"/>
          <w:b w:val="false"/>
          <w:i w:val="false"/>
          <w:color w:val="000000"/>
          <w:sz w:val="28"/>
        </w:rPr>
        <w:t>пунктами 61</w:t>
      </w:r>
      <w:r>
        <w:rPr>
          <w:rFonts w:ascii="Times New Roman"/>
          <w:b w:val="false"/>
          <w:i w:val="false"/>
          <w:color w:val="000000"/>
          <w:sz w:val="28"/>
        </w:rPr>
        <w:t xml:space="preserve"> – </w:t>
      </w:r>
      <w:r>
        <w:rPr>
          <w:rFonts w:ascii="Times New Roman"/>
          <w:b w:val="false"/>
          <w:i w:val="false"/>
          <w:color w:val="000000"/>
          <w:sz w:val="28"/>
        </w:rPr>
        <w:t>63</w:t>
      </w:r>
      <w:r>
        <w:rPr>
          <w:rFonts w:ascii="Times New Roman"/>
          <w:b w:val="false"/>
          <w:i w:val="false"/>
          <w:color w:val="000000"/>
          <w:sz w:val="28"/>
        </w:rPr>
        <w:t xml:space="preserve"> Методики основные выводы, сделанные на каждом этапе оценки состояния конкуренции, изложены в той части, в которой не нарушаются требования, предъявляемые к защите конфиденциальной информации.</w:t>
      </w:r>
    </w:p>
    <w:bookmarkEnd w:id="29"/>
    <w:bookmarkStart w:name="z34" w:id="30"/>
    <w:p>
      <w:pPr>
        <w:spacing w:after="0"/>
        <w:ind w:left="0"/>
        <w:jc w:val="both"/>
      </w:pPr>
      <w:r>
        <w:rPr>
          <w:rFonts w:ascii="Times New Roman"/>
          <w:b w:val="false"/>
          <w:i w:val="false"/>
          <w:color w:val="000000"/>
          <w:sz w:val="28"/>
        </w:rPr>
        <w:t xml:space="preserve">
      Руководствуясь положениями </w:t>
      </w:r>
      <w:r>
        <w:rPr>
          <w:rFonts w:ascii="Times New Roman"/>
          <w:b w:val="false"/>
          <w:i w:val="false"/>
          <w:color w:val="000000"/>
          <w:sz w:val="28"/>
        </w:rPr>
        <w:t>раздела II</w:t>
      </w:r>
      <w:r>
        <w:rPr>
          <w:rFonts w:ascii="Times New Roman"/>
          <w:b w:val="false"/>
          <w:i w:val="false"/>
          <w:color w:val="000000"/>
          <w:sz w:val="28"/>
        </w:rPr>
        <w:t xml:space="preserve"> Методики, временной интервал исследования товарного рынка определен с 1 января 2019 г. по 31 декабря 2020 г.</w:t>
      </w:r>
    </w:p>
    <w:bookmarkEnd w:id="30"/>
    <w:bookmarkStart w:name="z35" w:id="3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13</w:t>
      </w:r>
      <w:r>
        <w:rPr>
          <w:rFonts w:ascii="Times New Roman"/>
          <w:b w:val="false"/>
          <w:i w:val="false"/>
          <w:color w:val="000000"/>
          <w:sz w:val="28"/>
        </w:rPr>
        <w:t xml:space="preserve"> Методики определение продуктовых границ товарного рынка основывается на мнении покупателей о взаимозаменяемости товаров, составляющих одну товарную группу. Мнение покупателей определяется по результатам опроса или анализа предмета договора, на основании которого осуществляется реализация товара. </w:t>
      </w:r>
    </w:p>
    <w:bookmarkEnd w:id="31"/>
    <w:bookmarkStart w:name="z36" w:id="32"/>
    <w:p>
      <w:pPr>
        <w:spacing w:after="0"/>
        <w:ind w:left="0"/>
        <w:jc w:val="both"/>
      </w:pPr>
      <w:r>
        <w:rPr>
          <w:rFonts w:ascii="Times New Roman"/>
          <w:b w:val="false"/>
          <w:i w:val="false"/>
          <w:color w:val="000000"/>
          <w:sz w:val="28"/>
        </w:rPr>
        <w:t xml:space="preserve">
      В материалы дела представлены копии следующих договоров: </w:t>
      </w:r>
    </w:p>
    <w:bookmarkEnd w:id="32"/>
    <w:bookmarkStart w:name="z37" w:id="33"/>
    <w:p>
      <w:pPr>
        <w:spacing w:after="0"/>
        <w:ind w:left="0"/>
        <w:jc w:val="both"/>
      </w:pPr>
      <w:r>
        <w:rPr>
          <w:rFonts w:ascii="Times New Roman"/>
          <w:b w:val="false"/>
          <w:i w:val="false"/>
          <w:color w:val="000000"/>
          <w:sz w:val="28"/>
        </w:rPr>
        <w:t>
      договор от 4 мая 2018 г. № 05-01/196 между ОАО "Мозырский ДОК" и ООО "Альфа Грин", предметом которого является продажа теплоизоляционных древесно-волокнистых плит Beltermo-top, Beltermo-ultra, Beltermo-multi и Beltermo-kombi с плотностью в диапазоне от 110 до 200 кг/м3 с прямой кромкой или кромкой шип-паз;</w:t>
      </w:r>
    </w:p>
    <w:bookmarkEnd w:id="33"/>
    <w:bookmarkStart w:name="z38" w:id="34"/>
    <w:p>
      <w:pPr>
        <w:spacing w:after="0"/>
        <w:ind w:left="0"/>
        <w:jc w:val="both"/>
      </w:pPr>
      <w:r>
        <w:rPr>
          <w:rFonts w:ascii="Times New Roman"/>
          <w:b w:val="false"/>
          <w:i w:val="false"/>
          <w:color w:val="000000"/>
          <w:sz w:val="28"/>
        </w:rPr>
        <w:t>
      дистрибьюторский договор от 30 августа 2019 г. № 04-01/275 между ОАО "Мозырский ДОК" и ООО "ТД "ЦСК", предметом которого является продажа продукции, производимой на оборудовании и при участии ОАО "Мозырский ДОК", под товарным знаком "БЕЛТЕРМО" (теплоизоляционные древесно-волокнистые плиты);</w:t>
      </w:r>
    </w:p>
    <w:bookmarkEnd w:id="34"/>
    <w:bookmarkStart w:name="z39" w:id="35"/>
    <w:p>
      <w:pPr>
        <w:spacing w:after="0"/>
        <w:ind w:left="0"/>
        <w:jc w:val="both"/>
      </w:pPr>
      <w:r>
        <w:rPr>
          <w:rFonts w:ascii="Times New Roman"/>
          <w:b w:val="false"/>
          <w:i w:val="false"/>
          <w:color w:val="000000"/>
          <w:sz w:val="28"/>
        </w:rPr>
        <w:t>
      дилерский договор от 27 марта 2020 г. № 1 между ОАО "БЛК" и ООО "ТД "ЦСК", предметом которого является продажа теплоизоляционных древесно-волокнистых плит на территории Российской Федерации.</w:t>
      </w:r>
    </w:p>
    <w:bookmarkEnd w:id="35"/>
    <w:bookmarkStart w:name="z40" w:id="36"/>
    <w:p>
      <w:pPr>
        <w:spacing w:after="0"/>
        <w:ind w:left="0"/>
        <w:jc w:val="both"/>
      </w:pPr>
      <w:r>
        <w:rPr>
          <w:rFonts w:ascii="Times New Roman"/>
          <w:b w:val="false"/>
          <w:i w:val="false"/>
          <w:color w:val="000000"/>
          <w:sz w:val="28"/>
        </w:rPr>
        <w:t>
      Теплоизоляционные древесно-волокнистые плиты соответствуют требованиям ГОСТ EN 13171-2015 "Материалы теплоизоляционные для зданий и сооружений. Изделия древесноволокнистые (WF). Технические условия" (далее – ГОСТ EN 13171-2015), действующего на территории Республики Беларусь.</w:t>
      </w:r>
    </w:p>
    <w:bookmarkEnd w:id="36"/>
    <w:bookmarkStart w:name="z41" w:id="37"/>
    <w:p>
      <w:pPr>
        <w:spacing w:after="0"/>
        <w:ind w:left="0"/>
        <w:jc w:val="both"/>
      </w:pPr>
      <w:r>
        <w:rPr>
          <w:rFonts w:ascii="Times New Roman"/>
          <w:b w:val="false"/>
          <w:i w:val="false"/>
          <w:color w:val="000000"/>
          <w:sz w:val="28"/>
        </w:rPr>
        <w:t>
      Качественные и технические характеристики древесно-волокнистых плит для теплоизоляции зданий и сооружений определяются ГОСТ EN 13171-2015 и подлежат обязательному подтверждению соответствия требованиям безопасности технического регламента ТР 2009/013/BY в форме сертификации на территории Республики Беларусь.</w:t>
      </w:r>
    </w:p>
    <w:bookmarkEnd w:id="37"/>
    <w:bookmarkStart w:name="z42" w:id="38"/>
    <w:p>
      <w:pPr>
        <w:spacing w:after="0"/>
        <w:ind w:left="0"/>
        <w:jc w:val="both"/>
      </w:pPr>
      <w:r>
        <w:rPr>
          <w:rFonts w:ascii="Times New Roman"/>
          <w:b w:val="false"/>
          <w:i w:val="false"/>
          <w:color w:val="000000"/>
          <w:sz w:val="28"/>
        </w:rPr>
        <w:t>
      Анализ качественных и технических характеристик теплоизоляционных древесно-волокнистых плит, а также целей их использования, учитывающих технологические особенности и в отдельных случаях технические требования к материалам, включая их экологичность, позволил комиссии по рассмотрению дела сделать вывод об отсутствии взаимозаменяемых товаров.</w:t>
      </w:r>
    </w:p>
    <w:bookmarkEnd w:id="38"/>
    <w:bookmarkStart w:name="z43" w:id="39"/>
    <w:p>
      <w:pPr>
        <w:spacing w:after="0"/>
        <w:ind w:left="0"/>
        <w:jc w:val="both"/>
      </w:pPr>
      <w:r>
        <w:rPr>
          <w:rFonts w:ascii="Times New Roman"/>
          <w:b w:val="false"/>
          <w:i w:val="false"/>
          <w:color w:val="000000"/>
          <w:sz w:val="28"/>
        </w:rPr>
        <w:t>
      Из проведенного анализа указанных договоров следует, что предметом данных договоров является продажа теплоизоляционных древесно-волокнистых плит.</w:t>
      </w:r>
    </w:p>
    <w:bookmarkEnd w:id="39"/>
    <w:bookmarkStart w:name="z44" w:id="40"/>
    <w:p>
      <w:pPr>
        <w:spacing w:after="0"/>
        <w:ind w:left="0"/>
        <w:jc w:val="both"/>
      </w:pPr>
      <w:r>
        <w:rPr>
          <w:rFonts w:ascii="Times New Roman"/>
          <w:b w:val="false"/>
          <w:i w:val="false"/>
          <w:color w:val="000000"/>
          <w:sz w:val="28"/>
        </w:rPr>
        <w:t>
      Согласно законодательству о лицензировании государств-членов реализация теплоизоляционных древесно-волокнистых плит не относится к видам деятельности, подлежащим лицензированию.</w:t>
      </w:r>
    </w:p>
    <w:bookmarkEnd w:id="40"/>
    <w:bookmarkStart w:name="z45" w:id="41"/>
    <w:p>
      <w:pPr>
        <w:spacing w:after="0"/>
        <w:ind w:left="0"/>
        <w:jc w:val="both"/>
      </w:pPr>
      <w:r>
        <w:rPr>
          <w:rFonts w:ascii="Times New Roman"/>
          <w:b w:val="false"/>
          <w:i w:val="false"/>
          <w:color w:val="000000"/>
          <w:sz w:val="28"/>
        </w:rPr>
        <w:t xml:space="preserve">
      Таким образом, исходя из требований </w:t>
      </w:r>
      <w:r>
        <w:rPr>
          <w:rFonts w:ascii="Times New Roman"/>
          <w:b w:val="false"/>
          <w:i w:val="false"/>
          <w:color w:val="000000"/>
          <w:sz w:val="28"/>
        </w:rPr>
        <w:t>раздела III</w:t>
      </w:r>
      <w:r>
        <w:rPr>
          <w:rFonts w:ascii="Times New Roman"/>
          <w:b w:val="false"/>
          <w:i w:val="false"/>
          <w:color w:val="000000"/>
          <w:sz w:val="28"/>
        </w:rPr>
        <w:t xml:space="preserve"> Методики, основываясь на информации, представленной в материалах дела, установлено, что продуктовыми границами трансграничного товарного рынка теплоизоляционных древесно-волокнистых плит является рынок оптовой реализации теплоизоляционных древесно-волокнистых плит, соответствующих требованиям ГОСТ EN 13171-2015.</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Пунктом 2</w:t>
      </w:r>
      <w:r>
        <w:rPr>
          <w:rFonts w:ascii="Times New Roman"/>
          <w:b w:val="false"/>
          <w:i w:val="false"/>
          <w:color w:val="000000"/>
          <w:sz w:val="28"/>
        </w:rPr>
        <w:t xml:space="preserve"> Критериев отнесения рынка к трансграничному, утвержденных Решением Высшего Евразийского экономического совета от 19 декабря 2012 г. № 29 (далее – Критерии), установлено, что в целях применения общих правил конкуренции, установленных статьей 76 Договора, рынок относится к трансграничному, если географические границы товарного рынка охватывают территории 2 и более государств-членов.</w:t>
      </w:r>
    </w:p>
    <w:bookmarkStart w:name="z47" w:id="42"/>
    <w:p>
      <w:pPr>
        <w:spacing w:after="0"/>
        <w:ind w:left="0"/>
        <w:jc w:val="both"/>
      </w:pPr>
      <w:r>
        <w:rPr>
          <w:rFonts w:ascii="Times New Roman"/>
          <w:b w:val="false"/>
          <w:i w:val="false"/>
          <w:color w:val="000000"/>
          <w:sz w:val="28"/>
        </w:rPr>
        <w:t xml:space="preserve">
      В соответствии с положениями </w:t>
      </w:r>
      <w:r>
        <w:rPr>
          <w:rFonts w:ascii="Times New Roman"/>
          <w:b w:val="false"/>
          <w:i w:val="false"/>
          <w:color w:val="000000"/>
          <w:sz w:val="28"/>
        </w:rPr>
        <w:t>раздела IV</w:t>
      </w:r>
      <w:r>
        <w:rPr>
          <w:rFonts w:ascii="Times New Roman"/>
          <w:b w:val="false"/>
          <w:i w:val="false"/>
          <w:color w:val="000000"/>
          <w:sz w:val="28"/>
        </w:rPr>
        <w:t xml:space="preserve"> Методики, учитывая, что теплоизоляционные древесно-волокнистые плиты обращаются на территориях Республики Беларусь и Российской Федерации, установлено, что географическими границами трансграничного товарного рынка являются территории Республики Беларусь и Российской Федерации.</w:t>
      </w:r>
    </w:p>
    <w:bookmarkEnd w:id="42"/>
    <w:bookmarkStart w:name="z48" w:id="43"/>
    <w:p>
      <w:pPr>
        <w:spacing w:after="0"/>
        <w:ind w:left="0"/>
        <w:jc w:val="both"/>
      </w:pPr>
      <w:r>
        <w:rPr>
          <w:rFonts w:ascii="Times New Roman"/>
          <w:b w:val="false"/>
          <w:i w:val="false"/>
          <w:color w:val="000000"/>
          <w:sz w:val="28"/>
        </w:rPr>
        <w:t>
       Согласно сведениям, представленным таможенными органами Республики Беларусь и Российской Федерации, а также информации хозяйствующих субъектов (субъектов рынка), оптовую реализацию теплоизоляционных древесно-волокнистых плит в границах указанных территорий осуществляют ОАО "Мозырский ДОК", ОАО "БЛК", ООО "ТД "ЦСК", частное предприятие "Хонка", общество с ограниченной ответственностью "Агропром", общество с ограниченной ответственностью "Экоплат", общество с ограниченной ответственностью "Селена" (Nordic Fibreboard LTD, Эстония), совместное общество с ограниченной ответственностью "Монолитстройкомплект", общество с ограниченной ответственностью "Солнце Групп", общество с ограниченной ответственностью "Региональный центр экологических строительных материалов" (STEICO, Германия/Польша).</w:t>
      </w:r>
    </w:p>
    <w:bookmarkEnd w:id="43"/>
    <w:bookmarkStart w:name="z49" w:id="44"/>
    <w:p>
      <w:pPr>
        <w:spacing w:after="0"/>
        <w:ind w:left="0"/>
        <w:jc w:val="both"/>
      </w:pPr>
      <w:r>
        <w:rPr>
          <w:rFonts w:ascii="Times New Roman"/>
          <w:b w:val="false"/>
          <w:i w:val="false"/>
          <w:color w:val="000000"/>
          <w:sz w:val="28"/>
        </w:rPr>
        <w:t>
      Доля группы лиц в составе ОАО "Мозырский ДОК" и ОАО "БЛК" на рынке оптовой реализации теплоизоляционных древесно-волокнистых плит в географических границах Республики Беларусь и Российской Федерации за период оценки состояния конкуренции на трансграничном товарном рынке составила более 20 процентов.</w:t>
      </w:r>
    </w:p>
    <w:bookmarkEnd w:id="44"/>
    <w:bookmarkStart w:name="z50" w:id="45"/>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26</w:t>
      </w:r>
      <w:r>
        <w:rPr>
          <w:rFonts w:ascii="Times New Roman"/>
          <w:b w:val="false"/>
          <w:i w:val="false"/>
          <w:color w:val="000000"/>
          <w:sz w:val="28"/>
        </w:rPr>
        <w:t xml:space="preserve"> Методики и на основании </w:t>
      </w:r>
      <w:r>
        <w:rPr>
          <w:rFonts w:ascii="Times New Roman"/>
          <w:b w:val="false"/>
          <w:i w:val="false"/>
          <w:color w:val="000000"/>
          <w:sz w:val="28"/>
        </w:rPr>
        <w:t>пункта 2</w:t>
      </w:r>
      <w:r>
        <w:rPr>
          <w:rFonts w:ascii="Times New Roman"/>
          <w:b w:val="false"/>
          <w:i w:val="false"/>
          <w:color w:val="000000"/>
          <w:sz w:val="28"/>
        </w:rPr>
        <w:t xml:space="preserve"> статьи 74, </w:t>
      </w:r>
      <w:r>
        <w:rPr>
          <w:rFonts w:ascii="Times New Roman"/>
          <w:b w:val="false"/>
          <w:i w:val="false"/>
          <w:color w:val="000000"/>
          <w:sz w:val="28"/>
        </w:rPr>
        <w:t>пункта 7</w:t>
      </w:r>
      <w:r>
        <w:rPr>
          <w:rFonts w:ascii="Times New Roman"/>
          <w:b w:val="false"/>
          <w:i w:val="false"/>
          <w:color w:val="000000"/>
          <w:sz w:val="28"/>
        </w:rPr>
        <w:t xml:space="preserve"> статьи 76 Договора, </w:t>
      </w:r>
      <w:r>
        <w:rPr>
          <w:rFonts w:ascii="Times New Roman"/>
          <w:b w:val="false"/>
          <w:i w:val="false"/>
          <w:color w:val="000000"/>
          <w:sz w:val="28"/>
        </w:rPr>
        <w:t>пункта 9</w:t>
      </w:r>
      <w:r>
        <w:rPr>
          <w:rFonts w:ascii="Times New Roman"/>
          <w:b w:val="false"/>
          <w:i w:val="false"/>
          <w:color w:val="000000"/>
          <w:sz w:val="28"/>
        </w:rPr>
        <w:t xml:space="preserve"> Протокола и </w:t>
      </w:r>
      <w:r>
        <w:rPr>
          <w:rFonts w:ascii="Times New Roman"/>
          <w:b w:val="false"/>
          <w:i w:val="false"/>
          <w:color w:val="000000"/>
          <w:sz w:val="28"/>
        </w:rPr>
        <w:t>пунктов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Критериев, согласно информации, представленной в материалах дела, исходя из наличия поставок теплоизоляционных древесно-волокнистых плит с территории одного государства-члена на территорию другого государства-члена, рынок оптовой реализации теплоизоляционных древесно-волокнистых плит является трансграничным. </w:t>
      </w:r>
    </w:p>
    <w:bookmarkEnd w:id="45"/>
    <w:bookmarkStart w:name="z51" w:id="46"/>
    <w:p>
      <w:pPr>
        <w:spacing w:after="0"/>
        <w:ind w:left="0"/>
        <w:jc w:val="both"/>
      </w:pPr>
      <w:r>
        <w:rPr>
          <w:rFonts w:ascii="Times New Roman"/>
          <w:b w:val="false"/>
          <w:i w:val="false"/>
          <w:color w:val="000000"/>
          <w:sz w:val="28"/>
        </w:rPr>
        <w:t xml:space="preserve">
      Учитывая изложенное и тот факт, что рынок оптовой реализации теплоизоляционных древесно-волокнистых плит является трансграничным, на основании </w:t>
      </w:r>
      <w:r>
        <w:rPr>
          <w:rFonts w:ascii="Times New Roman"/>
          <w:b w:val="false"/>
          <w:i w:val="false"/>
          <w:color w:val="000000"/>
          <w:sz w:val="28"/>
        </w:rPr>
        <w:t>пункта 2</w:t>
      </w:r>
      <w:r>
        <w:rPr>
          <w:rFonts w:ascii="Times New Roman"/>
          <w:b w:val="false"/>
          <w:i w:val="false"/>
          <w:color w:val="000000"/>
          <w:sz w:val="28"/>
        </w:rPr>
        <w:t xml:space="preserve"> статьи 74, </w:t>
      </w:r>
      <w:r>
        <w:rPr>
          <w:rFonts w:ascii="Times New Roman"/>
          <w:b w:val="false"/>
          <w:i w:val="false"/>
          <w:color w:val="000000"/>
          <w:sz w:val="28"/>
        </w:rPr>
        <w:t>пункта 9</w:t>
      </w:r>
      <w:r>
        <w:rPr>
          <w:rFonts w:ascii="Times New Roman"/>
          <w:b w:val="false"/>
          <w:i w:val="false"/>
          <w:color w:val="000000"/>
          <w:sz w:val="28"/>
        </w:rPr>
        <w:t xml:space="preserve"> Протокола и </w:t>
      </w:r>
      <w:r>
        <w:rPr>
          <w:rFonts w:ascii="Times New Roman"/>
          <w:b w:val="false"/>
          <w:i w:val="false"/>
          <w:color w:val="000000"/>
          <w:sz w:val="28"/>
        </w:rPr>
        <w:t>пункта 3</w:t>
      </w:r>
      <w:r>
        <w:rPr>
          <w:rFonts w:ascii="Times New Roman"/>
          <w:b w:val="false"/>
          <w:i w:val="false"/>
          <w:color w:val="000000"/>
          <w:sz w:val="28"/>
        </w:rPr>
        <w:t xml:space="preserve"> Критериев, а также в связи с тем, что ООО "Альфа Грин" зарегистрировано на территории Российской Федерации, а ответчики – на территориях Республики Беларусь и Российской Федерации, пресечение нарушений </w:t>
      </w:r>
      <w:r>
        <w:rPr>
          <w:rFonts w:ascii="Times New Roman"/>
          <w:b w:val="false"/>
          <w:i w:val="false"/>
          <w:color w:val="000000"/>
          <w:sz w:val="28"/>
        </w:rPr>
        <w:t>пункта 5</w:t>
      </w:r>
      <w:r>
        <w:rPr>
          <w:rFonts w:ascii="Times New Roman"/>
          <w:b w:val="false"/>
          <w:i w:val="false"/>
          <w:color w:val="000000"/>
          <w:sz w:val="28"/>
        </w:rPr>
        <w:t xml:space="preserve"> статьи 76 Договора относится к компетенции Комиссии.</w:t>
      </w:r>
    </w:p>
    <w:bookmarkEnd w:id="46"/>
    <w:bookmarkStart w:name="z52" w:id="47"/>
    <w:p>
      <w:pPr>
        <w:spacing w:after="0"/>
        <w:ind w:left="0"/>
        <w:jc w:val="both"/>
      </w:pPr>
      <w:r>
        <w:rPr>
          <w:rFonts w:ascii="Times New Roman"/>
          <w:b w:val="false"/>
          <w:i w:val="false"/>
          <w:color w:val="000000"/>
          <w:sz w:val="28"/>
        </w:rPr>
        <w:t>
      Согласно материалам дела установлено, что ОАО "Мозырский ДОК" заключило договор с ООО "ТД "ЦСК", предусматривающий реализацию на территории Российской Федерации теплоизоляционных древесно-волокнистых плит исключительно через ООО "ТД "ЦСК", и ОАО "БЛК" заключило договор с ООО "ТД "ЦСК", предусматривающий реализацию на территории Российской Федерации теплоизоляционных древесно-волокнистых плит исключительно через ООО "ТД "ЦСК". В рамках выполнения обязательств по указанным договорам осуществлялась оптовая поставка теплоизоляционных древесно-волокнистых плит из Республики Беларусь в Российскую Федерацию.</w:t>
      </w:r>
    </w:p>
    <w:bookmarkEnd w:id="47"/>
    <w:bookmarkStart w:name="z53" w:id="48"/>
    <w:p>
      <w:pPr>
        <w:spacing w:after="0"/>
        <w:ind w:left="0"/>
        <w:jc w:val="both"/>
      </w:pPr>
      <w:r>
        <w:rPr>
          <w:rFonts w:ascii="Times New Roman"/>
          <w:b w:val="false"/>
          <w:i w:val="false"/>
          <w:color w:val="000000"/>
          <w:sz w:val="28"/>
        </w:rPr>
        <w:t xml:space="preserve">
      Из положений договоров следует, что при реализации оптом теплоизоляционных древесно-волокнистых плит на ООО "ТД "ЦСК" возлагалась обязанность не осуществлять последующую реализацию указанных плит за пределами Российской Федерации. </w:t>
      </w:r>
    </w:p>
    <w:bookmarkEnd w:id="48"/>
    <w:bookmarkStart w:name="z54" w:id="49"/>
    <w:p>
      <w:pPr>
        <w:spacing w:after="0"/>
        <w:ind w:left="0"/>
        <w:jc w:val="both"/>
      </w:pPr>
      <w:r>
        <w:rPr>
          <w:rFonts w:ascii="Times New Roman"/>
          <w:b w:val="false"/>
          <w:i w:val="false"/>
          <w:color w:val="000000"/>
          <w:sz w:val="28"/>
        </w:rPr>
        <w:t xml:space="preserve">
      При обращении ООО "Альфа Грин" по вопросу приобретения теплоизоляционных древесно-волокнистых плит к ответчику ему было отказано, в связи с чем оно обратилось в Комиссию. </w:t>
      </w:r>
    </w:p>
    <w:bookmarkEnd w:id="49"/>
    <w:bookmarkStart w:name="z55" w:id="50"/>
    <w:p>
      <w:pPr>
        <w:spacing w:after="0"/>
        <w:ind w:left="0"/>
        <w:jc w:val="both"/>
      </w:pPr>
      <w:r>
        <w:rPr>
          <w:rFonts w:ascii="Times New Roman"/>
          <w:b w:val="false"/>
          <w:i w:val="false"/>
          <w:color w:val="000000"/>
          <w:sz w:val="28"/>
        </w:rPr>
        <w:t xml:space="preserve">
      В свою очередь, представленные в материалах дела дистрибьюторский договор № 04-01/275 от 30 августа 2019 г., заключенный между ОАО "Мозырский ДОК" и ООО "ТД "ЦСК", и дилерский договор № 1 от 27 марта 2020 г., заключенный между ОАО "БЛК" и ООО "ТД "ЦСК", не являются договорами коммерческой концессии, в связи с чем не подпадают под критерии допустимости "вертикального" соглашения. </w:t>
      </w:r>
    </w:p>
    <w:bookmarkEnd w:id="50"/>
    <w:bookmarkStart w:name="z56" w:id="5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76 Договора пресечение нарушений хозяйствующими субъектами (субъектами рынка), а также физическими лицами и некоммерческими организациями государств-членов, не осуществляющими предпринимательскую деятельность, общих правил конкуренции, установленных разделом XVIII Договора, в случае, если такие нарушения оказывают или могут оказать негативное влияние на конкуренцию на трансграничных рынках на территориях 2 и более государств-членов, за исключением финансовых рынков, осуществляется Комиссией в порядке, предусмотренном </w:t>
      </w:r>
      <w:r>
        <w:rPr>
          <w:rFonts w:ascii="Times New Roman"/>
          <w:b w:val="false"/>
          <w:i w:val="false"/>
          <w:color w:val="000000"/>
          <w:sz w:val="28"/>
        </w:rPr>
        <w:t>Протоколом</w:t>
      </w:r>
      <w:r>
        <w:rPr>
          <w:rFonts w:ascii="Times New Roman"/>
          <w:b w:val="false"/>
          <w:i w:val="false"/>
          <w:color w:val="000000"/>
          <w:sz w:val="28"/>
        </w:rPr>
        <w:t>.</w:t>
      </w:r>
    </w:p>
    <w:bookmarkEnd w:id="51"/>
    <w:bookmarkStart w:name="z57" w:id="5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9</w:t>
      </w:r>
      <w:r>
        <w:rPr>
          <w:rFonts w:ascii="Times New Roman"/>
          <w:b w:val="false"/>
          <w:i w:val="false"/>
          <w:color w:val="000000"/>
          <w:sz w:val="28"/>
        </w:rPr>
        <w:t xml:space="preserve"> Протокола пресечение нарушений общих правил конкуренции, установленных </w:t>
      </w:r>
      <w:r>
        <w:rPr>
          <w:rFonts w:ascii="Times New Roman"/>
          <w:b w:val="false"/>
          <w:i w:val="false"/>
          <w:color w:val="000000"/>
          <w:sz w:val="28"/>
        </w:rPr>
        <w:t>статьей 76</w:t>
      </w:r>
      <w:r>
        <w:rPr>
          <w:rFonts w:ascii="Times New Roman"/>
          <w:b w:val="false"/>
          <w:i w:val="false"/>
          <w:color w:val="000000"/>
          <w:sz w:val="28"/>
        </w:rPr>
        <w:t xml:space="preserve"> Договора, осуществляется Комиссией в случае, если такие нарушения оказывают или могут оказать негативное влияние на конкуренцию на трансграничных рынках.</w:t>
      </w:r>
    </w:p>
    <w:bookmarkEnd w:id="52"/>
    <w:bookmarkStart w:name="z58" w:id="53"/>
    <w:p>
      <w:pPr>
        <w:spacing w:after="0"/>
        <w:ind w:left="0"/>
        <w:jc w:val="both"/>
      </w:pPr>
      <w:r>
        <w:rPr>
          <w:rFonts w:ascii="Times New Roman"/>
          <w:b w:val="false"/>
          <w:i w:val="false"/>
          <w:color w:val="000000"/>
          <w:sz w:val="28"/>
        </w:rPr>
        <w:t>
      Согласно информации, представленной в материалах дела, лицами, осуществляющими полномочия единоличных исполнительных органов ответчиков, которые являются хозяйствующими субъектами (субъектами рынка), с марта по апрель 2018 г. (период обращения ООО "Альфа Грин" по вопросу приобретения товара), являлись:</w:t>
      </w:r>
    </w:p>
    <w:bookmarkEnd w:id="53"/>
    <w:bookmarkStart w:name="z59" w:id="54"/>
    <w:p>
      <w:pPr>
        <w:spacing w:after="0"/>
        <w:ind w:left="0"/>
        <w:jc w:val="both"/>
      </w:pPr>
      <w:r>
        <w:rPr>
          <w:rFonts w:ascii="Times New Roman"/>
          <w:b w:val="false"/>
          <w:i w:val="false"/>
          <w:color w:val="000000"/>
          <w:sz w:val="28"/>
        </w:rPr>
        <w:t xml:space="preserve">
      директор ОАО "Мозырский ДОК" Лукьяненко А. Н., назначенный на должность приказом ОАО "Мозырский ДОК" от 1 февраля 2019 г. № 53К на основании заявления Лукьяненко А. Н. от 1 февраля 2019 г. и трудового контракта от 1 февраля 2019 г., в соответствии с </w:t>
      </w:r>
      <w:r>
        <w:rPr>
          <w:rFonts w:ascii="Times New Roman"/>
          <w:b w:val="false"/>
          <w:i w:val="false"/>
          <w:color w:val="000000"/>
          <w:sz w:val="28"/>
        </w:rPr>
        <w:t>пунктом 28</w:t>
      </w:r>
      <w:r>
        <w:rPr>
          <w:rFonts w:ascii="Times New Roman"/>
          <w:b w:val="false"/>
          <w:i w:val="false"/>
          <w:color w:val="000000"/>
          <w:sz w:val="28"/>
        </w:rPr>
        <w:t xml:space="preserve"> Порядка рассмотрения дел и пунктом 4 определения по делу о нарушении общих правил конкуренции на трансграничных рынках от 11 марта 2021 г. № 17/опр (далее – определение № 17/опр) привлеченный в качестве ответчика по делу;</w:t>
      </w:r>
    </w:p>
    <w:bookmarkEnd w:id="54"/>
    <w:bookmarkStart w:name="z60" w:id="55"/>
    <w:p>
      <w:pPr>
        <w:spacing w:after="0"/>
        <w:ind w:left="0"/>
        <w:jc w:val="both"/>
      </w:pPr>
      <w:r>
        <w:rPr>
          <w:rFonts w:ascii="Times New Roman"/>
          <w:b w:val="false"/>
          <w:i w:val="false"/>
          <w:color w:val="000000"/>
          <w:sz w:val="28"/>
        </w:rPr>
        <w:t xml:space="preserve">
      директор ОАО "БЛК" Сюльжин А. Р., назначенный на должность приказом ОАО "БЛК" от 30 июля 2018 г. № 132-к на основании выписки из протокола опроса членов наблюдательного совета ОАО "БЛК" от 27 июля 2018 г. № 12, заявления от 25 июля 2018 г. и трудового контракта № б/н от 30 июля 2018 г., в соответствии с </w:t>
      </w:r>
      <w:r>
        <w:rPr>
          <w:rFonts w:ascii="Times New Roman"/>
          <w:b w:val="false"/>
          <w:i w:val="false"/>
          <w:color w:val="000000"/>
          <w:sz w:val="28"/>
        </w:rPr>
        <w:t>пунктом 28</w:t>
      </w:r>
      <w:r>
        <w:rPr>
          <w:rFonts w:ascii="Times New Roman"/>
          <w:b w:val="false"/>
          <w:i w:val="false"/>
          <w:color w:val="000000"/>
          <w:sz w:val="28"/>
        </w:rPr>
        <w:t xml:space="preserve"> Порядка рассмотрения дел и пунктом 4 определения № 17/опр привлеченный в качестве ответчика по делу;</w:t>
      </w:r>
    </w:p>
    <w:bookmarkEnd w:id="55"/>
    <w:bookmarkStart w:name="z61" w:id="56"/>
    <w:p>
      <w:pPr>
        <w:spacing w:after="0"/>
        <w:ind w:left="0"/>
        <w:jc w:val="both"/>
      </w:pPr>
      <w:r>
        <w:rPr>
          <w:rFonts w:ascii="Times New Roman"/>
          <w:b w:val="false"/>
          <w:i w:val="false"/>
          <w:color w:val="000000"/>
          <w:sz w:val="28"/>
        </w:rPr>
        <w:t xml:space="preserve">
      исполняющий обязанности директора ОАО "БЛК" Сысоев Г. А., назначенный на должность приказом ОАО "БЛК" от 1 октября 2019 г. № 186-К на основании выписки из протокола опроса членов наблюдательного совета ОАО "БЛК" от 30 сентября 2019 г. № 15, соглашения между открытым акционерным обществом "Борисовдрев", ОАО "БЛК" и Сысоевым Г. А. от 30 сентября 2019 г. и письма ОАО "БЛК" от 20 сентября 2019 г. № 3-31/2659, в соответствии с </w:t>
      </w:r>
      <w:r>
        <w:rPr>
          <w:rFonts w:ascii="Times New Roman"/>
          <w:b w:val="false"/>
          <w:i w:val="false"/>
          <w:color w:val="000000"/>
          <w:sz w:val="28"/>
        </w:rPr>
        <w:t>пунктом 28</w:t>
      </w:r>
      <w:r>
        <w:rPr>
          <w:rFonts w:ascii="Times New Roman"/>
          <w:b w:val="false"/>
          <w:i w:val="false"/>
          <w:color w:val="000000"/>
          <w:sz w:val="28"/>
        </w:rPr>
        <w:t xml:space="preserve"> Порядка рассмотрения дел и пунктом 4 определения № 17/опр привлеченный в качестве ответчика по делу;</w:t>
      </w:r>
    </w:p>
    <w:bookmarkEnd w:id="56"/>
    <w:bookmarkStart w:name="z62" w:id="57"/>
    <w:p>
      <w:pPr>
        <w:spacing w:after="0"/>
        <w:ind w:left="0"/>
        <w:jc w:val="both"/>
      </w:pPr>
      <w:r>
        <w:rPr>
          <w:rFonts w:ascii="Times New Roman"/>
          <w:b w:val="false"/>
          <w:i w:val="false"/>
          <w:color w:val="000000"/>
          <w:sz w:val="28"/>
        </w:rPr>
        <w:t xml:space="preserve">
      исполняющая обязанности директора ОАО "БЛК" Орлова А. В., назначенная на должность приказом ОАО "БЛК" от 5 августа 2019 г. № 144-к на основании приказа об увольнении заместителя директора Скоробогатого М. А. № 188-к от 24 июля 2019 г., протокола наблюдательного совета ОАО "БЛК" от 17 июня 2019 г. № 11, в соответствии с </w:t>
      </w:r>
      <w:r>
        <w:rPr>
          <w:rFonts w:ascii="Times New Roman"/>
          <w:b w:val="false"/>
          <w:i w:val="false"/>
          <w:color w:val="000000"/>
          <w:sz w:val="28"/>
        </w:rPr>
        <w:t>пунктом 28</w:t>
      </w:r>
      <w:r>
        <w:rPr>
          <w:rFonts w:ascii="Times New Roman"/>
          <w:b w:val="false"/>
          <w:i w:val="false"/>
          <w:color w:val="000000"/>
          <w:sz w:val="28"/>
        </w:rPr>
        <w:t xml:space="preserve"> Порядка рассмотрения дел и пунктом 4 определения № 17/опр привлеченная в качестве ответчика по делу;</w:t>
      </w:r>
    </w:p>
    <w:bookmarkEnd w:id="57"/>
    <w:bookmarkStart w:name="z63" w:id="58"/>
    <w:p>
      <w:pPr>
        <w:spacing w:after="0"/>
        <w:ind w:left="0"/>
        <w:jc w:val="both"/>
      </w:pPr>
      <w:r>
        <w:rPr>
          <w:rFonts w:ascii="Times New Roman"/>
          <w:b w:val="false"/>
          <w:i w:val="false"/>
          <w:color w:val="000000"/>
          <w:sz w:val="28"/>
        </w:rPr>
        <w:t xml:space="preserve">
      генеральный директор ООО "ТД "ЦСК" Соломахо И. Л., назначенный на должность приказом ООО "ТД "ЦСК" от 11 июля 2020 г. № 23 на основании решения № 1 единственного учредителя ООО "ТД "ЦСК" от 12 апреля 2016 г. и трудового договора № 00063/20 от 11 июля 2020 г., в соответствии с </w:t>
      </w:r>
      <w:r>
        <w:rPr>
          <w:rFonts w:ascii="Times New Roman"/>
          <w:b w:val="false"/>
          <w:i w:val="false"/>
          <w:color w:val="000000"/>
          <w:sz w:val="28"/>
        </w:rPr>
        <w:t>пунктом 28</w:t>
      </w:r>
      <w:r>
        <w:rPr>
          <w:rFonts w:ascii="Times New Roman"/>
          <w:b w:val="false"/>
          <w:i w:val="false"/>
          <w:color w:val="000000"/>
          <w:sz w:val="28"/>
        </w:rPr>
        <w:t xml:space="preserve"> Порядка рассмотрения дел и пунктом 4 определения № 17/опр привлеченный в качестве ответчика по делу.</w:t>
      </w:r>
    </w:p>
    <w:bookmarkEnd w:id="58"/>
    <w:bookmarkStart w:name="z64" w:id="59"/>
    <w:p>
      <w:pPr>
        <w:spacing w:after="0"/>
        <w:ind w:left="0"/>
        <w:jc w:val="both"/>
      </w:pPr>
      <w:r>
        <w:rPr>
          <w:rFonts w:ascii="Times New Roman"/>
          <w:b w:val="false"/>
          <w:i w:val="false"/>
          <w:color w:val="000000"/>
          <w:sz w:val="28"/>
        </w:rPr>
        <w:t>
      В связи с тем, что в период с января 2019 г. по декабрь 2020 г. указанные лица являлись должностными лицами ответчиков, выполняющими организационно-распорядительные или административно-хозяйственные функции руководителей и работников хозяйствующих субъектов (субъектов рынка) и осуществляющими полномочия единоличных исполнительных органов хозяйствующих субъектов (субъектов рынка), они могли не совершать действия (бездействия), содержащие признаки нарушения общих правил конкуренции, однако этого не сделали.</w:t>
      </w:r>
    </w:p>
    <w:bookmarkEnd w:id="59"/>
    <w:bookmarkStart w:name="z65" w:id="6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пункта 2 Протокола, а также в соответствии с информацией, представленной в материалах дела, ОАО "Мозырский ДОК" входит в одну группу лиц с ОАО "БЛК".</w:t>
      </w:r>
    </w:p>
    <w:bookmarkEnd w:id="60"/>
    <w:bookmarkStart w:name="z66" w:id="61"/>
    <w:p>
      <w:pPr>
        <w:spacing w:after="0"/>
        <w:ind w:left="0"/>
        <w:jc w:val="both"/>
      </w:pPr>
      <w:r>
        <w:rPr>
          <w:rFonts w:ascii="Times New Roman"/>
          <w:b w:val="false"/>
          <w:i w:val="false"/>
          <w:color w:val="000000"/>
          <w:sz w:val="28"/>
        </w:rPr>
        <w:t xml:space="preserve">
      В соответствии с абзацем девятым </w:t>
      </w:r>
      <w:r>
        <w:rPr>
          <w:rFonts w:ascii="Times New Roman"/>
          <w:b w:val="false"/>
          <w:i w:val="false"/>
          <w:color w:val="000000"/>
          <w:sz w:val="28"/>
        </w:rPr>
        <w:t>подпункта 5</w:t>
      </w:r>
      <w:r>
        <w:rPr>
          <w:rFonts w:ascii="Times New Roman"/>
          <w:b w:val="false"/>
          <w:i w:val="false"/>
          <w:color w:val="000000"/>
          <w:sz w:val="28"/>
        </w:rPr>
        <w:t xml:space="preserve"> пункта 2 Протокола группа лиц рассматривается как единый хозяйствующий субъект (субъект рынка), положения раздела XVIII Договора и положения Протокола, относящиеся к хозяйствующим субъектам (субъектам рынка), распространяются на группу лиц, за исключением случаев, предусмотренных Протоколом. </w:t>
      </w:r>
    </w:p>
    <w:bookmarkEnd w:id="61"/>
    <w:bookmarkStart w:name="z67" w:id="62"/>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подпункту 8</w:t>
      </w:r>
      <w:r>
        <w:rPr>
          <w:rFonts w:ascii="Times New Roman"/>
          <w:b w:val="false"/>
          <w:i w:val="false"/>
          <w:color w:val="000000"/>
          <w:sz w:val="28"/>
        </w:rPr>
        <w:t xml:space="preserve"> пункта 2 Протокола под конкуренцией понимается состязательность хозяйствующих субъектов (субъектов рынка), при которой самостоятельными действиями каждого из них исключается или ограничивается возможность каждого из них в одностороннем порядке воздействовать на общие условия обращения товаров на соответствующем товарном рынке.</w:t>
      </w:r>
    </w:p>
    <w:bookmarkEnd w:id="62"/>
    <w:bookmarkStart w:name="z68" w:id="63"/>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76 Договора запрещаются иные соглашения между хозяйствующими субъектами (субъектами рынка), за исключением "вертикальных" соглашений, которые признаются допустимыми в соответствии с критериями допустимости, установленными Протоколом, в случае, если установлено, что такие соглашения приводят или могут привести к ограничению конкуренции на трансграничных рынках.</w:t>
      </w:r>
    </w:p>
    <w:bookmarkEnd w:id="63"/>
    <w:bookmarkStart w:name="z69" w:id="64"/>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подпункту 1</w:t>
      </w:r>
      <w:r>
        <w:rPr>
          <w:rFonts w:ascii="Times New Roman"/>
          <w:b w:val="false"/>
          <w:i w:val="false"/>
          <w:color w:val="000000"/>
          <w:sz w:val="28"/>
        </w:rPr>
        <w:t xml:space="preserve"> пункта 2 Протокола под "вертикальным" соглашением понимается соглашение между хозяйствующими субъектами (субъектами рынка), один из которых приобретает товар или является его потенциальным приобретателем, а другой предоставляет товар или является его потенциальным продавцом.</w:t>
      </w:r>
    </w:p>
    <w:bookmarkEnd w:id="64"/>
    <w:bookmarkStart w:name="z70" w:id="65"/>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подпункту 1</w:t>
      </w:r>
      <w:r>
        <w:rPr>
          <w:rFonts w:ascii="Times New Roman"/>
          <w:b w:val="false"/>
          <w:i w:val="false"/>
          <w:color w:val="000000"/>
          <w:sz w:val="28"/>
        </w:rPr>
        <w:t xml:space="preserve"> пункта 2 Протокола и </w:t>
      </w:r>
      <w:r>
        <w:rPr>
          <w:rFonts w:ascii="Times New Roman"/>
          <w:b w:val="false"/>
          <w:i w:val="false"/>
          <w:color w:val="000000"/>
          <w:sz w:val="28"/>
        </w:rPr>
        <w:t>пункту 4</w:t>
      </w:r>
      <w:r>
        <w:rPr>
          <w:rFonts w:ascii="Times New Roman"/>
          <w:b w:val="false"/>
          <w:i w:val="false"/>
          <w:color w:val="000000"/>
          <w:sz w:val="28"/>
        </w:rPr>
        <w:t xml:space="preserve"> статьи 76 Договора "вертикальное" соглашение представляет собой согласование своих действий как минимум двумя хозяйствующими субъектами (субъектами рынка), находящимися на разных уровнях в структуре одного товарного рынка.</w:t>
      </w:r>
    </w:p>
    <w:bookmarkEnd w:id="65"/>
    <w:bookmarkStart w:name="z71" w:id="66"/>
    <w:p>
      <w:pPr>
        <w:spacing w:after="0"/>
        <w:ind w:left="0"/>
        <w:jc w:val="both"/>
      </w:pPr>
      <w:r>
        <w:rPr>
          <w:rFonts w:ascii="Times New Roman"/>
          <w:b w:val="false"/>
          <w:i w:val="false"/>
          <w:color w:val="000000"/>
          <w:sz w:val="28"/>
        </w:rPr>
        <w:t xml:space="preserve">
      Основными критериями запрещенных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76 Договора "вертикальных" соглашений являются: </w:t>
      </w:r>
    </w:p>
    <w:bookmarkEnd w:id="66"/>
    <w:bookmarkStart w:name="z72" w:id="67"/>
    <w:p>
      <w:pPr>
        <w:spacing w:after="0"/>
        <w:ind w:left="0"/>
        <w:jc w:val="both"/>
      </w:pPr>
      <w:r>
        <w:rPr>
          <w:rFonts w:ascii="Times New Roman"/>
          <w:b w:val="false"/>
          <w:i w:val="false"/>
          <w:color w:val="000000"/>
          <w:sz w:val="28"/>
        </w:rPr>
        <w:t xml:space="preserve">
      по субъекту правонарушения – запрет "вертикальных" соглашений адресован как минимум двум хозяйствующим субъектам (субъектам рынка); </w:t>
      </w:r>
    </w:p>
    <w:bookmarkEnd w:id="67"/>
    <w:bookmarkStart w:name="z73" w:id="68"/>
    <w:p>
      <w:pPr>
        <w:spacing w:after="0"/>
        <w:ind w:left="0"/>
        <w:jc w:val="both"/>
      </w:pPr>
      <w:r>
        <w:rPr>
          <w:rFonts w:ascii="Times New Roman"/>
          <w:b w:val="false"/>
          <w:i w:val="false"/>
          <w:color w:val="000000"/>
          <w:sz w:val="28"/>
        </w:rPr>
        <w:t>
      по положению хозяйствующих субъектов (субъектов рынка) в структуре товарного рынка – участники "вертикального" соглашения осуществляют деятельность на разных уровнях в структуре одного товарного рынка;</w:t>
      </w:r>
    </w:p>
    <w:bookmarkEnd w:id="68"/>
    <w:bookmarkStart w:name="z74" w:id="69"/>
    <w:p>
      <w:pPr>
        <w:spacing w:after="0"/>
        <w:ind w:left="0"/>
        <w:jc w:val="both"/>
      </w:pPr>
      <w:r>
        <w:rPr>
          <w:rFonts w:ascii="Times New Roman"/>
          <w:b w:val="false"/>
          <w:i w:val="false"/>
          <w:color w:val="000000"/>
          <w:sz w:val="28"/>
        </w:rPr>
        <w:t>
      по характеру взаимодействия хозяйствующих субъектов (субъектов рынка) – участники "вертикального" соглашения достигают взаимной договоренности относительно условий своей экономической деятельности на товарном рынке.</w:t>
      </w:r>
    </w:p>
    <w:bookmarkEnd w:id="69"/>
    <w:bookmarkStart w:name="z75" w:id="70"/>
    <w:p>
      <w:pPr>
        <w:spacing w:after="0"/>
        <w:ind w:left="0"/>
        <w:jc w:val="both"/>
      </w:pPr>
      <w:r>
        <w:rPr>
          <w:rFonts w:ascii="Times New Roman"/>
          <w:b w:val="false"/>
          <w:i w:val="false"/>
          <w:color w:val="000000"/>
          <w:sz w:val="28"/>
        </w:rPr>
        <w:t>
      К материалам дела приобщено письмо ООО "Альфа Грин" от 23 апреля 2021 г. № 12 (вх. № 7488 от 26 апреля 2021 г.) с заявлением об отзыве жалобы. В качестве доводов ООО "Альфа Грин" указывает на отсутствие претензий к ОАО "Мозырский ДОК", ОАО "БЛК" и ООО "ТД "ЦСК", связанных с поставками продукции ОАО "Мозырский ДОК", а также указывает, что его устраивает ценовая политика и сроки поставки продукции ОАО "Мозырский ДОК". В рамках рассмотрения дела ООО "Альфа Грин" даны пояснения о том, что ООО "Альфа Грин" покупает продукцию ОАО "Мозырский ДОК" у общества с ограниченной ответственностью "БЕЛТЕРМО". В рамках рассмотрения дела ООО "Альфа Грин" представлены иные доводы (информация, документы, сведения, позиция), которые приобщены к материалам дела и исследованы комиссией по рассмотрению дела.</w:t>
      </w:r>
    </w:p>
    <w:bookmarkEnd w:id="70"/>
    <w:bookmarkStart w:name="z76" w:id="71"/>
    <w:p>
      <w:pPr>
        <w:spacing w:after="0"/>
        <w:ind w:left="0"/>
        <w:jc w:val="both"/>
      </w:pPr>
      <w:r>
        <w:rPr>
          <w:rFonts w:ascii="Times New Roman"/>
          <w:b w:val="false"/>
          <w:i w:val="false"/>
          <w:color w:val="000000"/>
          <w:sz w:val="28"/>
        </w:rPr>
        <w:t xml:space="preserve">
      В рамках рассмотрения дела ответчиками факт совершения нарушения общих правил конкуренции на трансграничных рынках не признается, в обосновании отсутствия в их действиях данного нарушения указывается следующее: </w:t>
      </w:r>
    </w:p>
    <w:bookmarkEnd w:id="71"/>
    <w:bookmarkStart w:name="z77" w:id="72"/>
    <w:p>
      <w:pPr>
        <w:spacing w:after="0"/>
        <w:ind w:left="0"/>
        <w:jc w:val="both"/>
      </w:pPr>
      <w:r>
        <w:rPr>
          <w:rFonts w:ascii="Times New Roman"/>
          <w:b w:val="false"/>
          <w:i w:val="false"/>
          <w:color w:val="000000"/>
          <w:sz w:val="28"/>
        </w:rPr>
        <w:t xml:space="preserve">
      при рассмотрении товарного рынка нужно учитывать не исключительно рынок теплоизоляционных древесно-волокнистых плит, а рынок теплоизоляционных товаров; </w:t>
      </w:r>
    </w:p>
    <w:bookmarkEnd w:id="72"/>
    <w:bookmarkStart w:name="z78" w:id="73"/>
    <w:p>
      <w:pPr>
        <w:spacing w:after="0"/>
        <w:ind w:left="0"/>
        <w:jc w:val="both"/>
      </w:pPr>
      <w:r>
        <w:rPr>
          <w:rFonts w:ascii="Times New Roman"/>
          <w:b w:val="false"/>
          <w:i w:val="false"/>
          <w:color w:val="000000"/>
          <w:sz w:val="28"/>
        </w:rPr>
        <w:t xml:space="preserve">
      доля ОАО "БЛК" и ОАО "Мозырский ДОК" на товарном рынке не превышает 10 процентов у каждого, соответственно, их действия не могут квалифицироваться в качестве заключения запрещенного "вертикального" соглашения; </w:t>
      </w:r>
    </w:p>
    <w:bookmarkEnd w:id="73"/>
    <w:bookmarkStart w:name="z79" w:id="74"/>
    <w:p>
      <w:pPr>
        <w:spacing w:after="0"/>
        <w:ind w:left="0"/>
        <w:jc w:val="both"/>
      </w:pPr>
      <w:r>
        <w:rPr>
          <w:rFonts w:ascii="Times New Roman"/>
          <w:b w:val="false"/>
          <w:i w:val="false"/>
          <w:color w:val="000000"/>
          <w:sz w:val="28"/>
        </w:rPr>
        <w:t>
      по пункту 2.1 описательной части заключения по результатам расследования ОАО "Мозырский ДОК" сообщило, что в период направления ООО "Альфа Грин" писем в адрес ОАО "Мозырский ДОК" действовал регламент взаимодействия участников Холдинга организаций деревообрабатывающей промышленности в процессе производства и реализации товара, согласно которому ОАО "БЛК" выполняло роль единого для предприятий указанного холдинга центра продаж;</w:t>
      </w:r>
    </w:p>
    <w:bookmarkEnd w:id="74"/>
    <w:bookmarkStart w:name="z80" w:id="75"/>
    <w:p>
      <w:pPr>
        <w:spacing w:after="0"/>
        <w:ind w:left="0"/>
        <w:jc w:val="both"/>
      </w:pPr>
      <w:r>
        <w:rPr>
          <w:rFonts w:ascii="Times New Roman"/>
          <w:b w:val="false"/>
          <w:i w:val="false"/>
          <w:color w:val="000000"/>
          <w:sz w:val="28"/>
        </w:rPr>
        <w:t>
      прекращение коммерческого сотрудничества с ООО "Альфа Грин" связано с недобросовестным поведением этого контрагента;</w:t>
      </w:r>
    </w:p>
    <w:bookmarkEnd w:id="75"/>
    <w:bookmarkStart w:name="z81" w:id="76"/>
    <w:p>
      <w:pPr>
        <w:spacing w:after="0"/>
        <w:ind w:left="0"/>
        <w:jc w:val="both"/>
      </w:pPr>
      <w:r>
        <w:rPr>
          <w:rFonts w:ascii="Times New Roman"/>
          <w:b w:val="false"/>
          <w:i w:val="false"/>
          <w:color w:val="000000"/>
          <w:sz w:val="28"/>
        </w:rPr>
        <w:t>
      теплоизоляционные древесно-волокнистые плиты вполне взаимозаменяемы любыми видами теплоизоляционных материалов, поэтому рынок должен рассматриваться как единый, а теплоизоляционные древесно-волокнистые плиты не должны выделяться в отдельную категорию. Кроме того, доля ОАО "Мозырский ДОК" ничтожно мала и поэтому никакого ограничения конкуренции быть не может;</w:t>
      </w:r>
    </w:p>
    <w:bookmarkEnd w:id="76"/>
    <w:bookmarkStart w:name="z82" w:id="77"/>
    <w:p>
      <w:pPr>
        <w:spacing w:after="0"/>
        <w:ind w:left="0"/>
        <w:jc w:val="both"/>
      </w:pPr>
      <w:r>
        <w:rPr>
          <w:rFonts w:ascii="Times New Roman"/>
          <w:b w:val="false"/>
          <w:i w:val="false"/>
          <w:color w:val="000000"/>
          <w:sz w:val="28"/>
        </w:rPr>
        <w:t>
      согласно коду 4411 94 100 0 ТН ВЭД ЕАЭС продукция, выпускаемая ОАО "Мозырский ДОК", относится к группе товаров "плиты древесно-волокнистые из древесины или других одревесневших материалов с добавлением или без добавления смол или других органических веществ";</w:t>
      </w:r>
    </w:p>
    <w:bookmarkEnd w:id="77"/>
    <w:bookmarkStart w:name="z83" w:id="78"/>
    <w:p>
      <w:pPr>
        <w:spacing w:after="0"/>
        <w:ind w:left="0"/>
        <w:jc w:val="both"/>
      </w:pPr>
      <w:r>
        <w:rPr>
          <w:rFonts w:ascii="Times New Roman"/>
          <w:b w:val="false"/>
          <w:i w:val="false"/>
          <w:color w:val="000000"/>
          <w:sz w:val="28"/>
        </w:rPr>
        <w:t xml:space="preserve">
      теплоизоляционные древесно-волокнистые плиты производства ОАО "Мозырский ДОК" не обладают уникальными потребительскими свойствами для выделения их в отдельную группу товаров и являются одним из видов теплоизоляционных материалов на рынке (таких как газонаполненные пластмассы, фибролит, арболит, теплоизоляционные материалы на основе льноволокна, минеральная вата, пенополиуретан, ИДВП (МДВП), пенопласт). В частности имеются аналогичные выпускаемым теплоизоляционным древесно-волокнистым плитам производства ОАО "Мозырский ДОК" древесные плиты производства Nordic Fibreboard LTD (Эстония). Кроме того, древесно-волокнистые плиты производятся под брендами ISOPLAAT, RUNKOLEIJONA, TUULILEIJONA, LATTIALEIJONA. Так, STEICO (Германия), разрабатывает и производит натуральный теплоизоляционный материал из древесного сырья под товарным знаком "STEICO". ISOPLAAT, STEICO, "БЕЛТЕРМО" производят мягкие древесно-волокнистые плиты, которые по своей структуре относятся к одной категории и могут быть взаимозаменяемы; </w:t>
      </w:r>
    </w:p>
    <w:bookmarkEnd w:id="78"/>
    <w:bookmarkStart w:name="z84" w:id="79"/>
    <w:p>
      <w:pPr>
        <w:spacing w:after="0"/>
        <w:ind w:left="0"/>
        <w:jc w:val="both"/>
      </w:pPr>
      <w:r>
        <w:rPr>
          <w:rFonts w:ascii="Times New Roman"/>
          <w:b w:val="false"/>
          <w:i w:val="false"/>
          <w:color w:val="000000"/>
          <w:sz w:val="28"/>
        </w:rPr>
        <w:t>
      коэффициент теплопроводности у плит из минерального волокна ниже, чем у плит из древесного волокна (при рассмотрении плит с одинаковой плотностью), что говорит о лучших теплоизоляционных свойствах по сравнению с плитами из растительного сырья. Также все плиты, изготовленные из минерального волокна (стекловата, базальтовое волокно и т. д.), относятся к негорючим материалам, что существенно расширяет их сферу применения и позволяет использовать в качестве теплоизоляции в зданиях с повышенными требованиями к пожарной безопасности, в конструкциях дымоходов и противопожарных системах вентиляции, к которым предъявляются особые, очень жесткие требования. Более того, плиты из минерального волокна входят в перечень рекомендованных теплоизоляционных материалов, которые разрешены к использованию как в многоэтажном, так и малоэтажном домостроении;</w:t>
      </w:r>
    </w:p>
    <w:bookmarkEnd w:id="79"/>
    <w:bookmarkStart w:name="z85" w:id="80"/>
    <w:p>
      <w:pPr>
        <w:spacing w:after="0"/>
        <w:ind w:left="0"/>
        <w:jc w:val="both"/>
      </w:pPr>
      <w:r>
        <w:rPr>
          <w:rFonts w:ascii="Times New Roman"/>
          <w:b w:val="false"/>
          <w:i w:val="false"/>
          <w:color w:val="000000"/>
          <w:sz w:val="28"/>
        </w:rPr>
        <w:t>
      согласно письму Министерства антимонопольного регулирования и торговли Республики Беларусь № 17-02-13/615К от 29 июня 2020 г. со ссылкой на информацию, опубликованную республиканским информационным унитарным предприятием "Институт жилища – НИПТИС им. Атаева С. С." (письмо № 7-1307 от 26 июня 2020 г.), теплоизоляционные древесно-волокнистые плиты плотностью от 110 до 200 кг/м</w:t>
      </w:r>
      <w:r>
        <w:rPr>
          <w:rFonts w:ascii="Times New Roman"/>
          <w:b w:val="false"/>
          <w:i w:val="false"/>
          <w:color w:val="000000"/>
          <w:vertAlign w:val="superscript"/>
        </w:rPr>
        <w:t>3</w:t>
      </w:r>
      <w:r>
        <w:rPr>
          <w:rFonts w:ascii="Times New Roman"/>
          <w:b w:val="false"/>
          <w:i w:val="false"/>
          <w:color w:val="000000"/>
          <w:sz w:val="28"/>
        </w:rPr>
        <w:t xml:space="preserve"> толщиной от 20 до 240 мм производства ОАО "Мозырский ДОК" применяются аналогично плитам из стекловолокна, пенополистирольных плит и минераловатных плит;</w:t>
      </w:r>
    </w:p>
    <w:bookmarkEnd w:id="80"/>
    <w:bookmarkStart w:name="z86" w:id="81"/>
    <w:p>
      <w:pPr>
        <w:spacing w:after="0"/>
        <w:ind w:left="0"/>
        <w:jc w:val="both"/>
      </w:pPr>
      <w:r>
        <w:rPr>
          <w:rFonts w:ascii="Times New Roman"/>
          <w:b w:val="false"/>
          <w:i w:val="false"/>
          <w:color w:val="000000"/>
          <w:sz w:val="28"/>
        </w:rPr>
        <w:t>
      иные доводы (информация, документы, сведения, позиции) ответчиков приобщены к материалам дела и исследованы комиссией по рассмотрению дела.</w:t>
      </w:r>
    </w:p>
    <w:bookmarkEnd w:id="81"/>
    <w:bookmarkStart w:name="z87" w:id="82"/>
    <w:p>
      <w:pPr>
        <w:spacing w:after="0"/>
        <w:ind w:left="0"/>
        <w:jc w:val="both"/>
      </w:pPr>
      <w:r>
        <w:rPr>
          <w:rFonts w:ascii="Times New Roman"/>
          <w:b w:val="false"/>
          <w:i w:val="false"/>
          <w:color w:val="000000"/>
          <w:sz w:val="28"/>
        </w:rPr>
        <w:t>
      Министерством антимонопольного регулирования и торговли Республики Беларусь представлена информация, в которой, в частности, отмечается, что продуктовые границы товарного рынка были определены на основании информации, представленной ООО "Альфа Грин", а также представлена иная информация, которая приобщена к материалам дела и была рассмотрена.</w:t>
      </w:r>
    </w:p>
    <w:bookmarkEnd w:id="82"/>
    <w:bookmarkStart w:name="z88" w:id="83"/>
    <w:p>
      <w:pPr>
        <w:spacing w:after="0"/>
        <w:ind w:left="0"/>
        <w:jc w:val="both"/>
      </w:pPr>
      <w:r>
        <w:rPr>
          <w:rFonts w:ascii="Times New Roman"/>
          <w:b w:val="false"/>
          <w:i w:val="false"/>
          <w:color w:val="000000"/>
          <w:sz w:val="28"/>
        </w:rPr>
        <w:t xml:space="preserve">
      По результатам рассмотрения материалов дела, включая доводы и пояснения лиц, участвующих в рассмотрении дела, исследования доказательств, заслушивания мнений и пояснений лиц, участвующих в рассмотрении дела, относительно доказательств, представленных другими лицами, участвующими в рассмотрении дела, заслушивания лиц, располагающих сведениями об обстоятельствах рассматриваемого дела, в рамках прошедших заседаний комиссии по рассмотрению дела установлено следующее. </w:t>
      </w:r>
    </w:p>
    <w:bookmarkEnd w:id="83"/>
    <w:bookmarkStart w:name="z89" w:id="84"/>
    <w:p>
      <w:pPr>
        <w:spacing w:after="0"/>
        <w:ind w:left="0"/>
        <w:jc w:val="both"/>
      </w:pPr>
      <w:r>
        <w:rPr>
          <w:rFonts w:ascii="Times New Roman"/>
          <w:b w:val="false"/>
          <w:i w:val="false"/>
          <w:color w:val="000000"/>
          <w:sz w:val="28"/>
        </w:rPr>
        <w:t>
      При разрешении вопроса, касающегося соблюдения запрета на антиконкурентное соглашение, юридически значимыми являются установление негативного влияния, которое оказывает или может оказать поведение хозяйствующего субъекта (субъекта рынка) на других участников рынка (хозяйствующих субъектов (субъектов рынка), потребителей), а также соответствие поведения указанного лица тому поведению, которое в подобной ситуации ожидалось бы от любого иного хозяйствующего субъекта (субъекта рынка), преследующего свой имущественный интерес, но не выходящий при этом за пределы осуществления гражданских прав.</w:t>
      </w:r>
    </w:p>
    <w:bookmarkEnd w:id="84"/>
    <w:bookmarkStart w:name="z90" w:id="85"/>
    <w:p>
      <w:pPr>
        <w:spacing w:after="0"/>
        <w:ind w:left="0"/>
        <w:jc w:val="both"/>
      </w:pPr>
      <w:r>
        <w:rPr>
          <w:rFonts w:ascii="Times New Roman"/>
          <w:b w:val="false"/>
          <w:i w:val="false"/>
          <w:color w:val="000000"/>
          <w:sz w:val="28"/>
        </w:rPr>
        <w:t xml:space="preserve">
      Представленный в материалах дела отказ от исполнения договорных обязательств, включая отказ от заключения договоров, который содержался в представленных ООО "Альфа Грин" документах, оцененных в совокупности с другими материалами дела, не подтверждает наличие соглашения, ограничивающего конкуренцию на трансграничных рынках. Указанный отказ является предметом гражданского правового спора о надлежащем или ненадлежащем исполнении сторонами договорных отношений и (или) взятых на себя обязательств в рамках преддоговорной работы. </w:t>
      </w:r>
    </w:p>
    <w:bookmarkEnd w:id="85"/>
    <w:bookmarkStart w:name="z91" w:id="86"/>
    <w:p>
      <w:pPr>
        <w:spacing w:after="0"/>
        <w:ind w:left="0"/>
        <w:jc w:val="both"/>
      </w:pPr>
      <w:r>
        <w:rPr>
          <w:rFonts w:ascii="Times New Roman"/>
          <w:b w:val="false"/>
          <w:i w:val="false"/>
          <w:color w:val="000000"/>
          <w:sz w:val="28"/>
        </w:rPr>
        <w:t>
      В связи с этим отказ в заключении договора на приобретение теплоизоляционных древесно-волокнистых плит и расторжение ранее заключенных договоров, о чем ООО "Альфа Грин" представлена соответствующая информация, являются предметом гражданских правовых отношений, которые разрешаются в установленном порядке, в том числе в судебном, и не могут быть разрешены комиссией по рассмотрению дела.</w:t>
      </w:r>
    </w:p>
    <w:bookmarkEnd w:id="86"/>
    <w:bookmarkStart w:name="z92" w:id="87"/>
    <w:p>
      <w:pPr>
        <w:spacing w:after="0"/>
        <w:ind w:left="0"/>
        <w:jc w:val="both"/>
      </w:pPr>
      <w:r>
        <w:rPr>
          <w:rFonts w:ascii="Times New Roman"/>
          <w:b w:val="false"/>
          <w:i w:val="false"/>
          <w:color w:val="000000"/>
          <w:sz w:val="28"/>
        </w:rPr>
        <w:t xml:space="preserve">
      Также представленная на заседании комиссии по рассмотрению дела информация о наличии возможности заменить теплоизоляционные древесно-волокнистые плиты другими теплоизоляционными материалами, сопоставимыми по своим техническим, экономическим и иным показателям с теплоизоляционными древесно-волокнистыми плитами производства ОАО "Мозырский ДОК", позволяет комиссии по рассмотрению дела прийти к выводу о наличии группы взаимозаменяемых товаров и, как следствие, констатировать тот факт, что доля ответчиков на рассматриваемом рынке составляет менее 20 процентов, что исключает заключенное ими "вертикальное" соглашение из запрещенных соглашений. </w:t>
      </w:r>
    </w:p>
    <w:bookmarkEnd w:id="87"/>
    <w:bookmarkStart w:name="z93" w:id="88"/>
    <w:p>
      <w:pPr>
        <w:spacing w:after="0"/>
        <w:ind w:left="0"/>
        <w:jc w:val="both"/>
      </w:pPr>
      <w:r>
        <w:rPr>
          <w:rFonts w:ascii="Times New Roman"/>
          <w:b w:val="false"/>
          <w:i w:val="false"/>
          <w:color w:val="000000"/>
          <w:sz w:val="28"/>
        </w:rPr>
        <w:t xml:space="preserve">
      Указанное в своей совокупности свидетельствует об отсутствии в период с 1 января 2019 г. по 31 декабря 2020 г. в действиях (бездействии) ОАО "Мозырский ДОК", ОАО "БЛК" и ООО "ТД "ЦСК", а также директора ОАО "Мозырский ДОК" Лукьяненко А. Н., директора ОАО "БЛК" Сюльжина А. Р., исполняющего обязанности директора ОАО "БЛК" Сысоева Г. А., исполняющей обязанности директора ОАО "БЛК" Орловой А. В. и генерального директора ООО "ТД "ЦСК" Соломахо И. Л. нарушения пункта 5 статьи 76 Договора, выразившегося в заключении ОАО "Мозырский ДОК", ОАО "БЛК" и ООО "ТД "ЦСК" соглашений, запрещенных </w:t>
      </w:r>
      <w:r>
        <w:rPr>
          <w:rFonts w:ascii="Times New Roman"/>
          <w:b w:val="false"/>
          <w:i w:val="false"/>
          <w:color w:val="000000"/>
          <w:sz w:val="28"/>
        </w:rPr>
        <w:t>пунктом 5</w:t>
      </w:r>
      <w:r>
        <w:rPr>
          <w:rFonts w:ascii="Times New Roman"/>
          <w:b w:val="false"/>
          <w:i w:val="false"/>
          <w:color w:val="000000"/>
          <w:sz w:val="28"/>
        </w:rPr>
        <w:t xml:space="preserve"> статьи 76 Договора.</w:t>
      </w:r>
    </w:p>
    <w:bookmarkEnd w:id="88"/>
    <w:bookmarkStart w:name="z94" w:id="89"/>
    <w:p>
      <w:pPr>
        <w:spacing w:after="0"/>
        <w:ind w:left="0"/>
        <w:jc w:val="both"/>
      </w:pPr>
      <w:r>
        <w:rPr>
          <w:rFonts w:ascii="Times New Roman"/>
          <w:b w:val="false"/>
          <w:i w:val="false"/>
          <w:color w:val="000000"/>
          <w:sz w:val="28"/>
        </w:rPr>
        <w:t xml:space="preserve">
      Руководствуясь подпунктом 2 </w:t>
      </w:r>
      <w:r>
        <w:rPr>
          <w:rFonts w:ascii="Times New Roman"/>
          <w:b w:val="false"/>
          <w:i w:val="false"/>
          <w:color w:val="000000"/>
          <w:sz w:val="28"/>
        </w:rPr>
        <w:t>пункта 43</w:t>
      </w:r>
      <w:r>
        <w:rPr>
          <w:rFonts w:ascii="Times New Roman"/>
          <w:b w:val="false"/>
          <w:i w:val="false"/>
          <w:color w:val="000000"/>
          <w:sz w:val="28"/>
        </w:rPr>
        <w:t xml:space="preserve"> Положения о Евразийской экономической комиссии (приложение № 1 к Договору), </w:t>
      </w:r>
      <w:r>
        <w:rPr>
          <w:rFonts w:ascii="Times New Roman"/>
          <w:b w:val="false"/>
          <w:i w:val="false"/>
          <w:color w:val="000000"/>
          <w:sz w:val="28"/>
        </w:rPr>
        <w:t>подпунктом 3</w:t>
      </w:r>
      <w:r>
        <w:rPr>
          <w:rFonts w:ascii="Times New Roman"/>
          <w:b w:val="false"/>
          <w:i w:val="false"/>
          <w:color w:val="000000"/>
          <w:sz w:val="28"/>
        </w:rPr>
        <w:t xml:space="preserve"> пункта 10 Протокола, </w:t>
      </w:r>
      <w:r>
        <w:rPr>
          <w:rFonts w:ascii="Times New Roman"/>
          <w:b w:val="false"/>
          <w:i w:val="false"/>
          <w:color w:val="000000"/>
          <w:sz w:val="28"/>
        </w:rPr>
        <w:t>пунктами 44</w:t>
      </w:r>
      <w:r>
        <w:rPr>
          <w:rFonts w:ascii="Times New Roman"/>
          <w:b w:val="false"/>
          <w:i w:val="false"/>
          <w:color w:val="000000"/>
          <w:sz w:val="28"/>
        </w:rPr>
        <w:t xml:space="preserve"> – </w:t>
      </w:r>
      <w:r>
        <w:rPr>
          <w:rFonts w:ascii="Times New Roman"/>
          <w:b w:val="false"/>
          <w:i w:val="false"/>
          <w:color w:val="000000"/>
          <w:sz w:val="28"/>
        </w:rPr>
        <w:t>46</w:t>
      </w:r>
      <w:r>
        <w:rPr>
          <w:rFonts w:ascii="Times New Roman"/>
          <w:b w:val="false"/>
          <w:i w:val="false"/>
          <w:color w:val="000000"/>
          <w:sz w:val="28"/>
        </w:rPr>
        <w:t xml:space="preserve"> Порядка рассмотрения дел, Коллегия Комиссии решила:</w:t>
      </w:r>
    </w:p>
    <w:bookmarkEnd w:id="89"/>
    <w:bookmarkStart w:name="z95" w:id="90"/>
    <w:p>
      <w:pPr>
        <w:spacing w:after="0"/>
        <w:ind w:left="0"/>
        <w:jc w:val="both"/>
      </w:pPr>
      <w:r>
        <w:rPr>
          <w:rFonts w:ascii="Times New Roman"/>
          <w:b w:val="false"/>
          <w:i w:val="false"/>
          <w:color w:val="000000"/>
          <w:sz w:val="28"/>
        </w:rPr>
        <w:t xml:space="preserve">
      1. Признать отсутствие в действиях (бездействии) ОАО "Мозырский ДОК", ОАО "БЛК" и ООО "ТД "ЦСК", а также директора ОАО "Мозырский ДОК" Лукьяненко А. Н., директора ОАО "БЛК" Сюльжина А. Р., исполняющего обязанности директора ОАО "БЛК" Сысоева Г. А., исполняющей обязанности директора ОАО "БЛК" Орловой А. В. и генерального директора ООО "ТД "ЦСК" Соломахо И. Л. нарушения </w:t>
      </w:r>
      <w:r>
        <w:rPr>
          <w:rFonts w:ascii="Times New Roman"/>
          <w:b w:val="false"/>
          <w:i w:val="false"/>
          <w:color w:val="000000"/>
          <w:sz w:val="28"/>
        </w:rPr>
        <w:t>пункта 5</w:t>
      </w:r>
      <w:r>
        <w:rPr>
          <w:rFonts w:ascii="Times New Roman"/>
          <w:b w:val="false"/>
          <w:i w:val="false"/>
          <w:color w:val="000000"/>
          <w:sz w:val="28"/>
        </w:rPr>
        <w:t xml:space="preserve"> статьи 76 Договора и прекратить в отношении указанных лиц рассмотрение дела.</w:t>
      </w:r>
    </w:p>
    <w:bookmarkEnd w:id="90"/>
    <w:bookmarkStart w:name="z96" w:id="91"/>
    <w:p>
      <w:pPr>
        <w:spacing w:after="0"/>
        <w:ind w:left="0"/>
        <w:jc w:val="both"/>
      </w:pPr>
      <w:r>
        <w:rPr>
          <w:rFonts w:ascii="Times New Roman"/>
          <w:b w:val="false"/>
          <w:i w:val="false"/>
          <w:color w:val="000000"/>
          <w:sz w:val="28"/>
        </w:rPr>
        <w:t>
      2. Настоящее Решение может быть обжаловано в установленном порядке в Суд Евразийского экономического союза.</w:t>
      </w:r>
    </w:p>
    <w:bookmarkEnd w:id="91"/>
    <w:bookmarkStart w:name="z97" w:id="92"/>
    <w:p>
      <w:pPr>
        <w:spacing w:after="0"/>
        <w:ind w:left="0"/>
        <w:jc w:val="both"/>
      </w:pPr>
      <w:r>
        <w:rPr>
          <w:rFonts w:ascii="Times New Roman"/>
          <w:b w:val="false"/>
          <w:i w:val="false"/>
          <w:color w:val="000000"/>
          <w:sz w:val="28"/>
        </w:rPr>
        <w:t>
      3. Настоящее Решение вступает в силу по истечении 30 календарных дней с даты его официального опубликования.</w:t>
      </w:r>
    </w:p>
    <w:bookmarkEnd w:id="9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Коллегии</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Евразийской экономической комиссии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 Мясникович</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