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c6c2" w14:textId="ac9c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8 февраля 2022 года № 24</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возбужденному 15 декабря 2020 г. по результатам расследования нарушения общих правил конкуренции на трансграничных рынках, проведенного по инициативе Комиссии в связи с наличием возможных признаков нарушения общих правил конкуренции на трансграничных рынках, в отношении группы лиц в следующем составе (далее соответственно – дело, ответчики): </w:t>
      </w:r>
    </w:p>
    <w:bookmarkEnd w:id="0"/>
    <w:bookmarkStart w:name="z5" w:id="1"/>
    <w:p>
      <w:pPr>
        <w:spacing w:after="0"/>
        <w:ind w:left="0"/>
        <w:jc w:val="both"/>
      </w:pPr>
      <w:r>
        <w:rPr>
          <w:rFonts w:ascii="Times New Roman"/>
          <w:b w:val="false"/>
          <w:i w:val="false"/>
          <w:color w:val="000000"/>
          <w:sz w:val="28"/>
        </w:rPr>
        <w:t>
      компания "Alcon Pharmaceuticals Ltd" (Швейцария, СН-1701, г. Фрибур, ул. Люи д'Аффри, д. 6, регистрационный номер CHE-113.996.020) (далее – компания "Alcon Pharmaceuticals Ltd") и общество с ограниченной ответственностью "Алкон Фармацевтика" (Российская Федерация, г. Москва, Ленинградский пр., д. 72, корп. 3, ОГРН 1027739129857) (далее – ООО "Алкон Фармацевтика");</w:t>
      </w:r>
    </w:p>
    <w:bookmarkEnd w:id="1"/>
    <w:bookmarkStart w:name="z6" w:id="2"/>
    <w:p>
      <w:pPr>
        <w:spacing w:after="0"/>
        <w:ind w:left="0"/>
        <w:jc w:val="both"/>
      </w:pPr>
      <w:r>
        <w:rPr>
          <w:rFonts w:ascii="Times New Roman"/>
          <w:b w:val="false"/>
          <w:i w:val="false"/>
          <w:color w:val="000000"/>
          <w:sz w:val="28"/>
        </w:rPr>
        <w:t xml:space="preserve">
      общество с ограниченной ответственностью "Оптикс-Юг" (Российская Федерация, Ростовская обл., г. Ростов-на-Дону, пер. Доломановский, д. 12А, ОГРН 1116195003242) (далее – ООО "Оптикс-Юг") и общество с ограниченной ответственностью "Оптикс-Альянс" (Российская Федерация, Ростовская обл., г. Ростов-на-Дону, пер. Доломановский, д. 12А, ОГРН 1136195011270) (далее – ООО "Оптикс-Альянс"); </w:t>
      </w:r>
    </w:p>
    <w:bookmarkEnd w:id="2"/>
    <w:bookmarkStart w:name="z7" w:id="3"/>
    <w:p>
      <w:pPr>
        <w:spacing w:after="0"/>
        <w:ind w:left="0"/>
        <w:jc w:val="both"/>
      </w:pPr>
      <w:r>
        <w:rPr>
          <w:rFonts w:ascii="Times New Roman"/>
          <w:b w:val="false"/>
          <w:i w:val="false"/>
          <w:color w:val="000000"/>
          <w:sz w:val="28"/>
        </w:rPr>
        <w:t>
      общество с ограниченной ответственностью "Регал" (Российская Федерация, Нижегородская обл., г. Нижний Новгород, ул. Родионова, д. 198Б, ОГРН 1115260020952) (далее – ООО "Регал") и общество с ограниченной ответственностью "ИОЛ" (Российская Федерация, Нижегородская обл., г. Нижний Новгород, ул. Родионова, д. 198Б, ОГРН 1155260003909) (далее – ООО "ИОЛ");</w:t>
      </w:r>
    </w:p>
    <w:bookmarkEnd w:id="3"/>
    <w:bookmarkStart w:name="z8" w:id="4"/>
    <w:p>
      <w:pPr>
        <w:spacing w:after="0"/>
        <w:ind w:left="0"/>
        <w:jc w:val="both"/>
      </w:pPr>
      <w:r>
        <w:rPr>
          <w:rFonts w:ascii="Times New Roman"/>
          <w:b w:val="false"/>
          <w:i w:val="false"/>
          <w:color w:val="000000"/>
          <w:sz w:val="28"/>
        </w:rPr>
        <w:t xml:space="preserve">
      общество с ограниченной ответственностью "Офтамедика" (Российская Федерация, Ленинградская обл., Всеволожский р-н, г. Всеволожск, пр. Всеволожский, д. 17, комн. 220, ОГРН 1114703005416) (далее – ООО "Офтамедика") и общество с ограниченной ответственностью "ГЕНИКО" (Российская Федерация, Ленинградская обл., Всеволожский р-н, г. Всеволожск, пр. Всеволожский, д. 17, комн. 220, ОГРН 1104703000511) (далее – ООО "ГЕНИКО"); </w:t>
      </w:r>
    </w:p>
    <w:bookmarkEnd w:id="4"/>
    <w:bookmarkStart w:name="z9" w:id="5"/>
    <w:p>
      <w:pPr>
        <w:spacing w:after="0"/>
        <w:ind w:left="0"/>
        <w:jc w:val="both"/>
      </w:pPr>
      <w:r>
        <w:rPr>
          <w:rFonts w:ascii="Times New Roman"/>
          <w:b w:val="false"/>
          <w:i w:val="false"/>
          <w:color w:val="000000"/>
          <w:sz w:val="28"/>
        </w:rPr>
        <w:t>
      общество с ограниченной ответственностью "ОМГ" (Российская Федерация, г. Москва, Бережковская наб., д. 16А, стр. 3, эт. 1, пом. 3, комн. 12, ОГРН 1047796915726) (далее – ООО "ОМГ"), общество с ограниченной ответственностью "Витал Эстетик Рус" (Российская Федерация, г. Москва, Бережковская наб., д. 16А, стр. 3, эт. 1, пом. 4, ОГРН 1107746645390) (далее – ООО "Витал Эстетик Рус") и общество с ограниченной ответственностью "Объединенная Медицинская Группа" (Российская Федерация, г. Москва, Бережковская наб., д. 16А, стр. 3, эт. 1, пом. 3, ОГРН 1047796306975) (далее – ООО "Объединенная Медицинская Группа");</w:t>
      </w:r>
    </w:p>
    <w:bookmarkEnd w:id="5"/>
    <w:bookmarkStart w:name="z10" w:id="6"/>
    <w:p>
      <w:pPr>
        <w:spacing w:after="0"/>
        <w:ind w:left="0"/>
        <w:jc w:val="both"/>
      </w:pPr>
      <w:r>
        <w:rPr>
          <w:rFonts w:ascii="Times New Roman"/>
          <w:b w:val="false"/>
          <w:i w:val="false"/>
          <w:color w:val="000000"/>
          <w:sz w:val="28"/>
        </w:rPr>
        <w:t xml:space="preserve">
      общество с ограниченной ответственностью "Линкс" (Российская Федерация, Республика Татарстан, г. Казань, ул. Айвазовского, д. 3А, пом. 2, ОГРН 1121690073570) (далее – ООО "Линкс"); </w:t>
      </w:r>
    </w:p>
    <w:bookmarkEnd w:id="6"/>
    <w:bookmarkStart w:name="z11" w:id="7"/>
    <w:p>
      <w:pPr>
        <w:spacing w:after="0"/>
        <w:ind w:left="0"/>
        <w:jc w:val="both"/>
      </w:pPr>
      <w:r>
        <w:rPr>
          <w:rFonts w:ascii="Times New Roman"/>
          <w:b w:val="false"/>
          <w:i w:val="false"/>
          <w:color w:val="000000"/>
          <w:sz w:val="28"/>
        </w:rPr>
        <w:t xml:space="preserve">
      акционерное общество "ИнтелМед" (Российская Федерация, г. Санкт-Петербург, ул. Новгородская, д. 23, литер А, оф. 320, ОГРН 1027806869298) (далее – АО "ИнтелМед"); </w:t>
      </w:r>
    </w:p>
    <w:bookmarkEnd w:id="7"/>
    <w:bookmarkStart w:name="z12" w:id="8"/>
    <w:p>
      <w:pPr>
        <w:spacing w:after="0"/>
        <w:ind w:left="0"/>
        <w:jc w:val="both"/>
      </w:pPr>
      <w:r>
        <w:rPr>
          <w:rFonts w:ascii="Times New Roman"/>
          <w:b w:val="false"/>
          <w:i w:val="false"/>
          <w:color w:val="000000"/>
          <w:sz w:val="28"/>
        </w:rPr>
        <w:t xml:space="preserve">
      общество с ограниченной ответственностью "Ортус-Медицинские Системы" (Российская Федерация, г. Екатеринбург, ул. Большакова, д. 70, оф. 403, ОГРН 1036603512901) (далее – ООО "Ортус-Медицинские Системы"); </w:t>
      </w:r>
    </w:p>
    <w:bookmarkEnd w:id="8"/>
    <w:bookmarkStart w:name="z13" w:id="9"/>
    <w:p>
      <w:pPr>
        <w:spacing w:after="0"/>
        <w:ind w:left="0"/>
        <w:jc w:val="both"/>
      </w:pPr>
      <w:r>
        <w:rPr>
          <w:rFonts w:ascii="Times New Roman"/>
          <w:b w:val="false"/>
          <w:i w:val="false"/>
          <w:color w:val="000000"/>
          <w:sz w:val="28"/>
        </w:rPr>
        <w:t>
      общество с ограниченной ответственностью "АМ-Медикал" (Российская Федерация, г. Санкт-Петербург, ул. Комсомола, д. 41, литер А, пом. 6-Н, оф. 311, ОГРН 1117847190120) (далее – ООО "АМ-Медикал");</w:t>
      </w:r>
    </w:p>
    <w:bookmarkEnd w:id="9"/>
    <w:bookmarkStart w:name="z14" w:id="10"/>
    <w:p>
      <w:pPr>
        <w:spacing w:after="0"/>
        <w:ind w:left="0"/>
        <w:jc w:val="both"/>
      </w:pPr>
      <w:r>
        <w:rPr>
          <w:rFonts w:ascii="Times New Roman"/>
          <w:b w:val="false"/>
          <w:i w:val="false"/>
          <w:color w:val="000000"/>
          <w:sz w:val="28"/>
        </w:rPr>
        <w:t>
      общество с ограниченной ответственностью "Куфран-РМ" (Российская Федерация, Новосибирская обл., г. Новосибирск, ул. Николаева, д. 11/5, эт. 5, оф. 15, ОГРН 1065473072796) (далее – ООО "Куфран-РМ");</w:t>
      </w:r>
    </w:p>
    <w:bookmarkEnd w:id="10"/>
    <w:bookmarkStart w:name="z15" w:id="11"/>
    <w:p>
      <w:pPr>
        <w:spacing w:after="0"/>
        <w:ind w:left="0"/>
        <w:jc w:val="both"/>
      </w:pPr>
      <w:r>
        <w:rPr>
          <w:rFonts w:ascii="Times New Roman"/>
          <w:b w:val="false"/>
          <w:i w:val="false"/>
          <w:color w:val="000000"/>
          <w:sz w:val="28"/>
        </w:rPr>
        <w:t>
      общество с ограниченной ответственностью "ПрофиМед" (Российская Федерация, г. Москва, Багратионовский пр., д. 12А, эт. 1, пом. 07, ОГРН 5177746382325) (далее – ООО "ПрофиМед");</w:t>
      </w:r>
    </w:p>
    <w:bookmarkEnd w:id="11"/>
    <w:bookmarkStart w:name="z16" w:id="12"/>
    <w:p>
      <w:pPr>
        <w:spacing w:after="0"/>
        <w:ind w:left="0"/>
        <w:jc w:val="both"/>
      </w:pPr>
      <w:r>
        <w:rPr>
          <w:rFonts w:ascii="Times New Roman"/>
          <w:b w:val="false"/>
          <w:i w:val="false"/>
          <w:color w:val="000000"/>
          <w:sz w:val="28"/>
        </w:rPr>
        <w:t>
      товарищество с ограниченной ответственностью "Астана Медикал Продукт" (Республика Казахстан, г. Нур-Султан, ул. Достык, д. 5/1, ВП 107, БИН 110740017775) (далее – ТОО "Астана Медикал Продукт");</w:t>
      </w:r>
    </w:p>
    <w:bookmarkEnd w:id="12"/>
    <w:bookmarkStart w:name="z17" w:id="13"/>
    <w:p>
      <w:pPr>
        <w:spacing w:after="0"/>
        <w:ind w:left="0"/>
        <w:jc w:val="both"/>
      </w:pPr>
      <w:r>
        <w:rPr>
          <w:rFonts w:ascii="Times New Roman"/>
          <w:b w:val="false"/>
          <w:i w:val="false"/>
          <w:color w:val="000000"/>
          <w:sz w:val="28"/>
        </w:rPr>
        <w:t xml:space="preserve">
      товарищество с ограниченной ответственностью "MD Tech" (Республика Казахстан, г. Нур-Султан, ул. Ж. Омарова, д. 10, ВП-4, БИН 110640022272) (далее – ТОО "MD Tech"); </w:t>
      </w:r>
    </w:p>
    <w:bookmarkEnd w:id="13"/>
    <w:bookmarkStart w:name="z18" w:id="14"/>
    <w:p>
      <w:pPr>
        <w:spacing w:after="0"/>
        <w:ind w:left="0"/>
        <w:jc w:val="both"/>
      </w:pPr>
      <w:r>
        <w:rPr>
          <w:rFonts w:ascii="Times New Roman"/>
          <w:b w:val="false"/>
          <w:i w:val="false"/>
          <w:color w:val="000000"/>
          <w:sz w:val="28"/>
        </w:rPr>
        <w:t>
      товарищество с ограниченной ответственностью "ZALMA Ltd. (Цалма Ltd.)" (Республика Казахстан, г. Алматы, ул. Богенбай Батыра, д. 305А, БИН 040240000429) (далее – ТОО "ZALMA Ltd");</w:t>
      </w:r>
    </w:p>
    <w:bookmarkEnd w:id="14"/>
    <w:bookmarkStart w:name="z19" w:id="15"/>
    <w:p>
      <w:pPr>
        <w:spacing w:after="0"/>
        <w:ind w:left="0"/>
        <w:jc w:val="both"/>
      </w:pPr>
      <w:r>
        <w:rPr>
          <w:rFonts w:ascii="Times New Roman"/>
          <w:b w:val="false"/>
          <w:i w:val="false"/>
          <w:color w:val="000000"/>
          <w:sz w:val="28"/>
        </w:rPr>
        <w:t>
      общество с ограниченной ответственностью "ЮниХелп" (Кыргызская Республика, г. Бишкек, пр. Жибек-Жолу, д. 94, ИНН 02409199710197) (далее – ООО "ЮниХелп");</w:t>
      </w:r>
    </w:p>
    <w:bookmarkEnd w:id="15"/>
    <w:bookmarkStart w:name="z20" w:id="16"/>
    <w:p>
      <w:pPr>
        <w:spacing w:after="0"/>
        <w:ind w:left="0"/>
        <w:jc w:val="both"/>
      </w:pPr>
      <w:r>
        <w:rPr>
          <w:rFonts w:ascii="Times New Roman"/>
          <w:b w:val="false"/>
          <w:i w:val="false"/>
          <w:color w:val="000000"/>
          <w:sz w:val="28"/>
        </w:rPr>
        <w:t>
      совместное общество с ограниченной ответственностью "АСВ Трейд Сервис" (Республика Беларусь, г. Минск, ул. Железнодорожная, д. 33а, корп. 1, пом. 5, регистрационный номер 690658079) (далее – СООО "АСВ Трейд Сервис");</w:t>
      </w:r>
    </w:p>
    <w:bookmarkEnd w:id="16"/>
    <w:bookmarkStart w:name="z21" w:id="17"/>
    <w:p>
      <w:pPr>
        <w:spacing w:after="0"/>
        <w:ind w:left="0"/>
        <w:jc w:val="both"/>
      </w:pPr>
      <w:r>
        <w:rPr>
          <w:rFonts w:ascii="Times New Roman"/>
          <w:b w:val="false"/>
          <w:i w:val="false"/>
          <w:color w:val="000000"/>
          <w:sz w:val="28"/>
        </w:rPr>
        <w:t xml:space="preserve">
      белорусско-германско-индийское совместное предприятие "Дина Интернешнл" (Республика Беларусь, г. Минск, ул. Немига, д. 40, пом. 25, комн. 1, регистрационный номер 100953193) (далее – "Дина Интернешнл"); </w:t>
      </w:r>
    </w:p>
    <w:bookmarkEnd w:id="17"/>
    <w:bookmarkStart w:name="z22" w:id="18"/>
    <w:p>
      <w:pPr>
        <w:spacing w:after="0"/>
        <w:ind w:left="0"/>
        <w:jc w:val="both"/>
      </w:pPr>
      <w:r>
        <w:rPr>
          <w:rFonts w:ascii="Times New Roman"/>
          <w:b w:val="false"/>
          <w:i w:val="false"/>
          <w:color w:val="000000"/>
          <w:sz w:val="28"/>
        </w:rPr>
        <w:t>
      генеральный директор ООО "Алкон Фармацевтика" Михно Е.В. (ИНН 771990944305);</w:t>
      </w:r>
    </w:p>
    <w:bookmarkEnd w:id="18"/>
    <w:bookmarkStart w:name="z23" w:id="19"/>
    <w:p>
      <w:pPr>
        <w:spacing w:after="0"/>
        <w:ind w:left="0"/>
        <w:jc w:val="both"/>
      </w:pPr>
      <w:r>
        <w:rPr>
          <w:rFonts w:ascii="Times New Roman"/>
          <w:b w:val="false"/>
          <w:i w:val="false"/>
          <w:color w:val="000000"/>
          <w:sz w:val="28"/>
        </w:rPr>
        <w:t>
      генеральный директор ООО "Алкон Фармацевтика" в период до 14 января 2020 г. Гатинская Т.В.;</w:t>
      </w:r>
    </w:p>
    <w:bookmarkEnd w:id="19"/>
    <w:bookmarkStart w:name="z24" w:id="20"/>
    <w:p>
      <w:pPr>
        <w:spacing w:after="0"/>
        <w:ind w:left="0"/>
        <w:jc w:val="both"/>
      </w:pPr>
      <w:r>
        <w:rPr>
          <w:rFonts w:ascii="Times New Roman"/>
          <w:b w:val="false"/>
          <w:i w:val="false"/>
          <w:color w:val="000000"/>
          <w:sz w:val="28"/>
        </w:rPr>
        <w:t>
      генеральный директор ООО "Оптикс-Юг" и ООО "Оптикс-Альянс" Дольников В.А. (ИНН 616500945420);</w:t>
      </w:r>
    </w:p>
    <w:bookmarkEnd w:id="20"/>
    <w:bookmarkStart w:name="z25" w:id="21"/>
    <w:p>
      <w:pPr>
        <w:spacing w:after="0"/>
        <w:ind w:left="0"/>
        <w:jc w:val="both"/>
      </w:pPr>
      <w:r>
        <w:rPr>
          <w:rFonts w:ascii="Times New Roman"/>
          <w:b w:val="false"/>
          <w:i w:val="false"/>
          <w:color w:val="000000"/>
          <w:sz w:val="28"/>
        </w:rPr>
        <w:t xml:space="preserve">
      генеральный директор ООО "Линкс" Хабибуллина Г.Ф. (ИНН 166002519989); </w:t>
      </w:r>
    </w:p>
    <w:bookmarkEnd w:id="21"/>
    <w:bookmarkStart w:name="z26" w:id="22"/>
    <w:p>
      <w:pPr>
        <w:spacing w:after="0"/>
        <w:ind w:left="0"/>
        <w:jc w:val="both"/>
      </w:pPr>
      <w:r>
        <w:rPr>
          <w:rFonts w:ascii="Times New Roman"/>
          <w:b w:val="false"/>
          <w:i w:val="false"/>
          <w:color w:val="000000"/>
          <w:sz w:val="28"/>
        </w:rPr>
        <w:t xml:space="preserve">
      генеральный директор ООО "Регал" и ООО "ИОЛ" Сабо Й. (ИНН 525601580030); </w:t>
      </w:r>
    </w:p>
    <w:bookmarkEnd w:id="22"/>
    <w:bookmarkStart w:name="z27" w:id="23"/>
    <w:p>
      <w:pPr>
        <w:spacing w:after="0"/>
        <w:ind w:left="0"/>
        <w:jc w:val="both"/>
      </w:pPr>
      <w:r>
        <w:rPr>
          <w:rFonts w:ascii="Times New Roman"/>
          <w:b w:val="false"/>
          <w:i w:val="false"/>
          <w:color w:val="000000"/>
          <w:sz w:val="28"/>
        </w:rPr>
        <w:t xml:space="preserve">
      генеральный директор АО "ИнтелМед" Лебедев Г.В. (ИНН 780434235608); </w:t>
      </w:r>
    </w:p>
    <w:bookmarkEnd w:id="23"/>
    <w:bookmarkStart w:name="z28" w:id="24"/>
    <w:p>
      <w:pPr>
        <w:spacing w:after="0"/>
        <w:ind w:left="0"/>
        <w:jc w:val="both"/>
      </w:pPr>
      <w:r>
        <w:rPr>
          <w:rFonts w:ascii="Times New Roman"/>
          <w:b w:val="false"/>
          <w:i w:val="false"/>
          <w:color w:val="000000"/>
          <w:sz w:val="28"/>
        </w:rPr>
        <w:t>
      директор ООО "Ортус-Медицинские Системы" Макаров Я.Ю. (ИНН 667111745327);</w:t>
      </w:r>
    </w:p>
    <w:bookmarkEnd w:id="24"/>
    <w:bookmarkStart w:name="z29" w:id="25"/>
    <w:p>
      <w:pPr>
        <w:spacing w:after="0"/>
        <w:ind w:left="0"/>
        <w:jc w:val="both"/>
      </w:pPr>
      <w:r>
        <w:rPr>
          <w:rFonts w:ascii="Times New Roman"/>
          <w:b w:val="false"/>
          <w:i w:val="false"/>
          <w:color w:val="000000"/>
          <w:sz w:val="28"/>
        </w:rPr>
        <w:t>
      генеральный директор ООО "Офтамедика" и ООО "ГЕНИКО" Зеленская Н.А. (ИНН 781305652651);</w:t>
      </w:r>
    </w:p>
    <w:bookmarkEnd w:id="25"/>
    <w:bookmarkStart w:name="z30" w:id="26"/>
    <w:p>
      <w:pPr>
        <w:spacing w:after="0"/>
        <w:ind w:left="0"/>
        <w:jc w:val="both"/>
      </w:pPr>
      <w:r>
        <w:rPr>
          <w:rFonts w:ascii="Times New Roman"/>
          <w:b w:val="false"/>
          <w:i w:val="false"/>
          <w:color w:val="000000"/>
          <w:sz w:val="28"/>
        </w:rPr>
        <w:t>
      генеральный директор ООО "ОМГ" Чемоданов Ю.В. (ИНН 771206210462);</w:t>
      </w:r>
    </w:p>
    <w:bookmarkEnd w:id="26"/>
    <w:bookmarkStart w:name="z31" w:id="27"/>
    <w:p>
      <w:pPr>
        <w:spacing w:after="0"/>
        <w:ind w:left="0"/>
        <w:jc w:val="both"/>
      </w:pPr>
      <w:r>
        <w:rPr>
          <w:rFonts w:ascii="Times New Roman"/>
          <w:b w:val="false"/>
          <w:i w:val="false"/>
          <w:color w:val="000000"/>
          <w:sz w:val="28"/>
        </w:rPr>
        <w:t>
      генеральный директор ООО "Витал Эстетик Рус" Ващинкина Л.В. (ИНН 772021762511);</w:t>
      </w:r>
    </w:p>
    <w:bookmarkEnd w:id="27"/>
    <w:bookmarkStart w:name="z32" w:id="28"/>
    <w:p>
      <w:pPr>
        <w:spacing w:after="0"/>
        <w:ind w:left="0"/>
        <w:jc w:val="both"/>
      </w:pPr>
      <w:r>
        <w:rPr>
          <w:rFonts w:ascii="Times New Roman"/>
          <w:b w:val="false"/>
          <w:i w:val="false"/>
          <w:color w:val="000000"/>
          <w:sz w:val="28"/>
        </w:rPr>
        <w:t>
      генеральный директор ООО "Объединенная Медицинская Группа" Волкорезов Д.В. (ИНН 773002384506);</w:t>
      </w:r>
    </w:p>
    <w:bookmarkEnd w:id="28"/>
    <w:bookmarkStart w:name="z33" w:id="29"/>
    <w:p>
      <w:pPr>
        <w:spacing w:after="0"/>
        <w:ind w:left="0"/>
        <w:jc w:val="both"/>
      </w:pPr>
      <w:r>
        <w:rPr>
          <w:rFonts w:ascii="Times New Roman"/>
          <w:b w:val="false"/>
          <w:i w:val="false"/>
          <w:color w:val="000000"/>
          <w:sz w:val="28"/>
        </w:rPr>
        <w:t>
      генеральный директор ООО "АМ-Медикал" Нурищенко В.К. (ИНН 781309979633);</w:t>
      </w:r>
    </w:p>
    <w:bookmarkEnd w:id="29"/>
    <w:bookmarkStart w:name="z34" w:id="30"/>
    <w:p>
      <w:pPr>
        <w:spacing w:after="0"/>
        <w:ind w:left="0"/>
        <w:jc w:val="both"/>
      </w:pPr>
      <w:r>
        <w:rPr>
          <w:rFonts w:ascii="Times New Roman"/>
          <w:b w:val="false"/>
          <w:i w:val="false"/>
          <w:color w:val="000000"/>
          <w:sz w:val="28"/>
        </w:rPr>
        <w:t>
      директор ООО "Куфран-РМ" Французов А.А. (ИНН 540806745551);</w:t>
      </w:r>
    </w:p>
    <w:bookmarkEnd w:id="30"/>
    <w:bookmarkStart w:name="z35" w:id="31"/>
    <w:p>
      <w:pPr>
        <w:spacing w:after="0"/>
        <w:ind w:left="0"/>
        <w:jc w:val="both"/>
      </w:pPr>
      <w:r>
        <w:rPr>
          <w:rFonts w:ascii="Times New Roman"/>
          <w:b w:val="false"/>
          <w:i w:val="false"/>
          <w:color w:val="000000"/>
          <w:sz w:val="28"/>
        </w:rPr>
        <w:t>
      директор ООО "ПрофиМед" Волтов А.В. (ИНН 771572835161);</w:t>
      </w:r>
    </w:p>
    <w:bookmarkEnd w:id="31"/>
    <w:bookmarkStart w:name="z36" w:id="32"/>
    <w:p>
      <w:pPr>
        <w:spacing w:after="0"/>
        <w:ind w:left="0"/>
        <w:jc w:val="both"/>
      </w:pPr>
      <w:r>
        <w:rPr>
          <w:rFonts w:ascii="Times New Roman"/>
          <w:b w:val="false"/>
          <w:i w:val="false"/>
          <w:color w:val="000000"/>
          <w:sz w:val="28"/>
        </w:rPr>
        <w:t>
      генеральный директор ТОО "Астана Медикал Продукт" Суворов С.В.;</w:t>
      </w:r>
    </w:p>
    <w:bookmarkEnd w:id="32"/>
    <w:bookmarkStart w:name="z37" w:id="33"/>
    <w:p>
      <w:pPr>
        <w:spacing w:after="0"/>
        <w:ind w:left="0"/>
        <w:jc w:val="both"/>
      </w:pPr>
      <w:r>
        <w:rPr>
          <w:rFonts w:ascii="Times New Roman"/>
          <w:b w:val="false"/>
          <w:i w:val="false"/>
          <w:color w:val="000000"/>
          <w:sz w:val="28"/>
        </w:rPr>
        <w:t>
      генеральный директор ТОО "MD Tech" Лавриненко И.В.;</w:t>
      </w:r>
    </w:p>
    <w:bookmarkEnd w:id="33"/>
    <w:bookmarkStart w:name="z38" w:id="34"/>
    <w:p>
      <w:pPr>
        <w:spacing w:after="0"/>
        <w:ind w:left="0"/>
        <w:jc w:val="both"/>
      </w:pPr>
      <w:r>
        <w:rPr>
          <w:rFonts w:ascii="Times New Roman"/>
          <w:b w:val="false"/>
          <w:i w:val="false"/>
          <w:color w:val="000000"/>
          <w:sz w:val="28"/>
        </w:rPr>
        <w:t>
      генеральный директор ТОО "ZALMA Ltd" Шамриков Г.Г. (ИНН 720126301569);</w:t>
      </w:r>
    </w:p>
    <w:bookmarkEnd w:id="34"/>
    <w:bookmarkStart w:name="z39" w:id="35"/>
    <w:p>
      <w:pPr>
        <w:spacing w:after="0"/>
        <w:ind w:left="0"/>
        <w:jc w:val="both"/>
      </w:pPr>
      <w:r>
        <w:rPr>
          <w:rFonts w:ascii="Times New Roman"/>
          <w:b w:val="false"/>
          <w:i w:val="false"/>
          <w:color w:val="000000"/>
          <w:sz w:val="28"/>
        </w:rPr>
        <w:t>
      генеральный директор ООО "ЮниХелп" Герасименко К.К.;</w:t>
      </w:r>
    </w:p>
    <w:bookmarkEnd w:id="35"/>
    <w:bookmarkStart w:name="z40" w:id="36"/>
    <w:p>
      <w:pPr>
        <w:spacing w:after="0"/>
        <w:ind w:left="0"/>
        <w:jc w:val="both"/>
      </w:pPr>
      <w:r>
        <w:rPr>
          <w:rFonts w:ascii="Times New Roman"/>
          <w:b w:val="false"/>
          <w:i w:val="false"/>
          <w:color w:val="000000"/>
          <w:sz w:val="28"/>
        </w:rPr>
        <w:t>
      директор СООО "АСВ Трейд Сервис" Акулич О.А.;</w:t>
      </w:r>
    </w:p>
    <w:bookmarkEnd w:id="36"/>
    <w:bookmarkStart w:name="z41" w:id="37"/>
    <w:p>
      <w:pPr>
        <w:spacing w:after="0"/>
        <w:ind w:left="0"/>
        <w:jc w:val="both"/>
      </w:pPr>
      <w:r>
        <w:rPr>
          <w:rFonts w:ascii="Times New Roman"/>
          <w:b w:val="false"/>
          <w:i w:val="false"/>
          <w:color w:val="000000"/>
          <w:sz w:val="28"/>
        </w:rPr>
        <w:t>
      директор "Дина Интернешнл" Сингх В.К.</w:t>
      </w:r>
    </w:p>
    <w:bookmarkEnd w:id="37"/>
    <w:bookmarkStart w:name="z42" w:id="38"/>
    <w:p>
      <w:pPr>
        <w:spacing w:after="0"/>
        <w:ind w:left="0"/>
        <w:jc w:val="both"/>
      </w:pPr>
      <w:r>
        <w:rPr>
          <w:rFonts w:ascii="Times New Roman"/>
          <w:b w:val="false"/>
          <w:i w:val="false"/>
          <w:color w:val="000000"/>
          <w:sz w:val="28"/>
        </w:rPr>
        <w:t>
      В соответствии с пунктом 23 Порядка рассмотрения дел 11 июня 2021 г. председателем комиссии по рассмотрению дела Сушкевичем А. Г., директором Департамента антимонопольного регулирования Комиссии (далее – Департамент) объявлено об окончании рассмотрения дела в присутствии:</w:t>
      </w:r>
    </w:p>
    <w:bookmarkEnd w:id="38"/>
    <w:bookmarkStart w:name="z43" w:id="39"/>
    <w:p>
      <w:pPr>
        <w:spacing w:after="0"/>
        <w:ind w:left="0"/>
        <w:jc w:val="both"/>
      </w:pPr>
      <w:r>
        <w:rPr>
          <w:rFonts w:ascii="Times New Roman"/>
          <w:b w:val="false"/>
          <w:i w:val="false"/>
          <w:color w:val="000000"/>
          <w:sz w:val="28"/>
        </w:rPr>
        <w:t>
      заместителя председателя комиссии по рассмотрению дела Калиева А.А., заместителя директора Департамента;</w:t>
      </w:r>
    </w:p>
    <w:bookmarkEnd w:id="39"/>
    <w:bookmarkStart w:name="z44" w:id="40"/>
    <w:p>
      <w:pPr>
        <w:spacing w:after="0"/>
        <w:ind w:left="0"/>
        <w:jc w:val="both"/>
      </w:pPr>
      <w:r>
        <w:rPr>
          <w:rFonts w:ascii="Times New Roman"/>
          <w:b w:val="false"/>
          <w:i w:val="false"/>
          <w:color w:val="000000"/>
          <w:sz w:val="28"/>
        </w:rPr>
        <w:t>
      членов комиссии по рассмотрению дела:</w:t>
      </w:r>
    </w:p>
    <w:bookmarkEnd w:id="40"/>
    <w:bookmarkStart w:name="z45" w:id="41"/>
    <w:p>
      <w:pPr>
        <w:spacing w:after="0"/>
        <w:ind w:left="0"/>
        <w:jc w:val="both"/>
      </w:pPr>
      <w:r>
        <w:rPr>
          <w:rFonts w:ascii="Times New Roman"/>
          <w:b w:val="false"/>
          <w:i w:val="false"/>
          <w:color w:val="000000"/>
          <w:sz w:val="28"/>
        </w:rPr>
        <w:t>
      Исаева Б.А., заместителя директора Департамента;</w:t>
      </w:r>
    </w:p>
    <w:bookmarkEnd w:id="41"/>
    <w:bookmarkStart w:name="z46" w:id="42"/>
    <w:p>
      <w:pPr>
        <w:spacing w:after="0"/>
        <w:ind w:left="0"/>
        <w:jc w:val="both"/>
      </w:pPr>
      <w:r>
        <w:rPr>
          <w:rFonts w:ascii="Times New Roman"/>
          <w:b w:val="false"/>
          <w:i w:val="false"/>
          <w:color w:val="000000"/>
          <w:sz w:val="28"/>
        </w:rPr>
        <w:t>
      Батырбек Ш., начальника отдела расследований антиконкурентных соглашений и методологии Департамента;</w:t>
      </w:r>
    </w:p>
    <w:bookmarkEnd w:id="42"/>
    <w:bookmarkStart w:name="z47" w:id="43"/>
    <w:p>
      <w:pPr>
        <w:spacing w:after="0"/>
        <w:ind w:left="0"/>
        <w:jc w:val="both"/>
      </w:pPr>
      <w:r>
        <w:rPr>
          <w:rFonts w:ascii="Times New Roman"/>
          <w:b w:val="false"/>
          <w:i w:val="false"/>
          <w:color w:val="000000"/>
          <w:sz w:val="28"/>
        </w:rPr>
        <w:t>
      Кривцуна Е.П., советника отдела рассмотрения заявлений (материалов) и дел о нарушении общих правил конкуренции Департамента;</w:t>
      </w:r>
    </w:p>
    <w:bookmarkEnd w:id="43"/>
    <w:bookmarkStart w:name="z48" w:id="44"/>
    <w:p>
      <w:pPr>
        <w:spacing w:after="0"/>
        <w:ind w:left="0"/>
        <w:jc w:val="both"/>
      </w:pPr>
      <w:r>
        <w:rPr>
          <w:rFonts w:ascii="Times New Roman"/>
          <w:b w:val="false"/>
          <w:i w:val="false"/>
          <w:color w:val="000000"/>
          <w:sz w:val="28"/>
        </w:rPr>
        <w:t>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w:t>
      </w:r>
    </w:p>
    <w:bookmarkEnd w:id="44"/>
    <w:bookmarkStart w:name="z49" w:id="45"/>
    <w:p>
      <w:pPr>
        <w:spacing w:after="0"/>
        <w:ind w:left="0"/>
        <w:jc w:val="both"/>
      </w:pPr>
      <w:r>
        <w:rPr>
          <w:rFonts w:ascii="Times New Roman"/>
          <w:b w:val="false"/>
          <w:i w:val="false"/>
          <w:color w:val="000000"/>
          <w:sz w:val="28"/>
        </w:rPr>
        <w:t>
      Мелкоедовой П.Б., начальника отдела особо важных расследований Управления по борьбе с картелями Федеральной антимонопольной службы;</w:t>
      </w:r>
    </w:p>
    <w:bookmarkEnd w:id="45"/>
    <w:bookmarkStart w:name="z50" w:id="46"/>
    <w:p>
      <w:pPr>
        <w:spacing w:after="0"/>
        <w:ind w:left="0"/>
        <w:jc w:val="both"/>
      </w:pPr>
      <w:r>
        <w:rPr>
          <w:rFonts w:ascii="Times New Roman"/>
          <w:b w:val="false"/>
          <w:i w:val="false"/>
          <w:color w:val="000000"/>
          <w:sz w:val="28"/>
        </w:rPr>
        <w:t>
      Лазаревой В.В., главного специалиста-эксперта отдела экономической интеграции со странами СНГ Управления международного экономического сотрудничества Федеральной антимонопольной службы;</w:t>
      </w:r>
    </w:p>
    <w:bookmarkEnd w:id="46"/>
    <w:bookmarkStart w:name="z51" w:id="47"/>
    <w:p>
      <w:pPr>
        <w:spacing w:after="0"/>
        <w:ind w:left="0"/>
        <w:jc w:val="both"/>
      </w:pPr>
      <w:r>
        <w:rPr>
          <w:rFonts w:ascii="Times New Roman"/>
          <w:b w:val="false"/>
          <w:i w:val="false"/>
          <w:color w:val="000000"/>
          <w:sz w:val="28"/>
        </w:rPr>
        <w:t>
      представителей ответчиков:</w:t>
      </w:r>
    </w:p>
    <w:bookmarkEnd w:id="47"/>
    <w:bookmarkStart w:name="z52" w:id="48"/>
    <w:p>
      <w:pPr>
        <w:spacing w:after="0"/>
        <w:ind w:left="0"/>
        <w:jc w:val="both"/>
      </w:pPr>
      <w:r>
        <w:rPr>
          <w:rFonts w:ascii="Times New Roman"/>
          <w:b w:val="false"/>
          <w:i w:val="false"/>
          <w:color w:val="000000"/>
          <w:sz w:val="28"/>
        </w:rPr>
        <w:t>
      Брюзгиной А.А., представителя по доверенности компании "Alcon Pharmaceuticals Ltd" и ООО "Алкон Фармацевтика";</w:t>
      </w:r>
    </w:p>
    <w:bookmarkEnd w:id="48"/>
    <w:bookmarkStart w:name="z53" w:id="49"/>
    <w:p>
      <w:pPr>
        <w:spacing w:after="0"/>
        <w:ind w:left="0"/>
        <w:jc w:val="both"/>
      </w:pPr>
      <w:r>
        <w:rPr>
          <w:rFonts w:ascii="Times New Roman"/>
          <w:b w:val="false"/>
          <w:i w:val="false"/>
          <w:color w:val="000000"/>
          <w:sz w:val="28"/>
        </w:rPr>
        <w:t>
      Трусовой А.А., представителя по доверенности компании "Alcon Pharmaceuticals Ltd" и ООО "Алкон Фармацевтика";</w:t>
      </w:r>
    </w:p>
    <w:bookmarkEnd w:id="49"/>
    <w:bookmarkStart w:name="z54" w:id="50"/>
    <w:p>
      <w:pPr>
        <w:spacing w:after="0"/>
        <w:ind w:left="0"/>
        <w:jc w:val="both"/>
      </w:pPr>
      <w:r>
        <w:rPr>
          <w:rFonts w:ascii="Times New Roman"/>
          <w:b w:val="false"/>
          <w:i w:val="false"/>
          <w:color w:val="000000"/>
          <w:sz w:val="28"/>
        </w:rPr>
        <w:t>
      Гореславской Н.В., представителя по доверенности компании "Alcon Pharmaceuticals Ltd" и ООО "Алкон Фармацевтика";</w:t>
      </w:r>
    </w:p>
    <w:bookmarkEnd w:id="50"/>
    <w:bookmarkStart w:name="z55" w:id="51"/>
    <w:p>
      <w:pPr>
        <w:spacing w:after="0"/>
        <w:ind w:left="0"/>
        <w:jc w:val="both"/>
      </w:pPr>
      <w:r>
        <w:rPr>
          <w:rFonts w:ascii="Times New Roman"/>
          <w:b w:val="false"/>
          <w:i w:val="false"/>
          <w:color w:val="000000"/>
          <w:sz w:val="28"/>
        </w:rPr>
        <w:t>
      Рытенко И.А., представителя по доверенности компании "Alcon Pharmaceuticals Ltd" и ООО "Алкон Фармацевтика";</w:t>
      </w:r>
    </w:p>
    <w:bookmarkEnd w:id="51"/>
    <w:bookmarkStart w:name="z56" w:id="52"/>
    <w:p>
      <w:pPr>
        <w:spacing w:after="0"/>
        <w:ind w:left="0"/>
        <w:jc w:val="both"/>
      </w:pPr>
      <w:r>
        <w:rPr>
          <w:rFonts w:ascii="Times New Roman"/>
          <w:b w:val="false"/>
          <w:i w:val="false"/>
          <w:color w:val="000000"/>
          <w:sz w:val="28"/>
        </w:rPr>
        <w:t>
      Сабельниковой М.А., представителя по доверенности компании "Alcon Pharmaceuticals Ltd" и ООО "Алкон Фармацевтика";</w:t>
      </w:r>
    </w:p>
    <w:bookmarkEnd w:id="52"/>
    <w:bookmarkStart w:name="z57" w:id="53"/>
    <w:p>
      <w:pPr>
        <w:spacing w:after="0"/>
        <w:ind w:left="0"/>
        <w:jc w:val="both"/>
      </w:pPr>
      <w:r>
        <w:rPr>
          <w:rFonts w:ascii="Times New Roman"/>
          <w:b w:val="false"/>
          <w:i w:val="false"/>
          <w:color w:val="000000"/>
          <w:sz w:val="28"/>
        </w:rPr>
        <w:t>
      Сурниной М.В., представителя по доверенности ООО "Оптикс-Юг" и ООО "Оптикс-Альянс";</w:t>
      </w:r>
    </w:p>
    <w:bookmarkEnd w:id="53"/>
    <w:bookmarkStart w:name="z58" w:id="54"/>
    <w:p>
      <w:pPr>
        <w:spacing w:after="0"/>
        <w:ind w:left="0"/>
        <w:jc w:val="both"/>
      </w:pPr>
      <w:r>
        <w:rPr>
          <w:rFonts w:ascii="Times New Roman"/>
          <w:b w:val="false"/>
          <w:i w:val="false"/>
          <w:color w:val="000000"/>
          <w:sz w:val="28"/>
        </w:rPr>
        <w:t>
      Сергеевой Е.С., представителя по доверенности ООО "Регал" и ООО "ИОЛ";</w:t>
      </w:r>
    </w:p>
    <w:bookmarkEnd w:id="54"/>
    <w:bookmarkStart w:name="z59" w:id="55"/>
    <w:p>
      <w:pPr>
        <w:spacing w:after="0"/>
        <w:ind w:left="0"/>
        <w:jc w:val="both"/>
      </w:pPr>
      <w:r>
        <w:rPr>
          <w:rFonts w:ascii="Times New Roman"/>
          <w:b w:val="false"/>
          <w:i w:val="false"/>
          <w:color w:val="000000"/>
          <w:sz w:val="28"/>
        </w:rPr>
        <w:t>
      Хабибуллиной Г.Ф., генерального директора ООО "Линкс";</w:t>
      </w:r>
    </w:p>
    <w:bookmarkEnd w:id="55"/>
    <w:bookmarkStart w:name="z60" w:id="56"/>
    <w:p>
      <w:pPr>
        <w:spacing w:after="0"/>
        <w:ind w:left="0"/>
        <w:jc w:val="both"/>
      </w:pPr>
      <w:r>
        <w:rPr>
          <w:rFonts w:ascii="Times New Roman"/>
          <w:b w:val="false"/>
          <w:i w:val="false"/>
          <w:color w:val="000000"/>
          <w:sz w:val="28"/>
        </w:rPr>
        <w:t>
      Красильникова С.А., представителя по доверенности ООО "Линкс";</w:t>
      </w:r>
    </w:p>
    <w:bookmarkEnd w:id="56"/>
    <w:bookmarkStart w:name="z61" w:id="57"/>
    <w:p>
      <w:pPr>
        <w:spacing w:after="0"/>
        <w:ind w:left="0"/>
        <w:jc w:val="both"/>
      </w:pPr>
      <w:r>
        <w:rPr>
          <w:rFonts w:ascii="Times New Roman"/>
          <w:b w:val="false"/>
          <w:i w:val="false"/>
          <w:color w:val="000000"/>
          <w:sz w:val="28"/>
        </w:rPr>
        <w:t>
      Бабаян А.Н., представителя по доверенности АО "ИнтелМед";</w:t>
      </w:r>
    </w:p>
    <w:bookmarkEnd w:id="57"/>
    <w:bookmarkStart w:name="z62" w:id="58"/>
    <w:p>
      <w:pPr>
        <w:spacing w:after="0"/>
        <w:ind w:left="0"/>
        <w:jc w:val="both"/>
      </w:pPr>
      <w:r>
        <w:rPr>
          <w:rFonts w:ascii="Times New Roman"/>
          <w:b w:val="false"/>
          <w:i w:val="false"/>
          <w:color w:val="000000"/>
          <w:sz w:val="28"/>
        </w:rPr>
        <w:t>
      посредством видео-конференц-связи:</w:t>
      </w:r>
    </w:p>
    <w:bookmarkEnd w:id="58"/>
    <w:bookmarkStart w:name="z63" w:id="59"/>
    <w:p>
      <w:pPr>
        <w:spacing w:after="0"/>
        <w:ind w:left="0"/>
        <w:jc w:val="both"/>
      </w:pPr>
      <w:r>
        <w:rPr>
          <w:rFonts w:ascii="Times New Roman"/>
          <w:b w:val="false"/>
          <w:i w:val="false"/>
          <w:color w:val="000000"/>
          <w:sz w:val="28"/>
        </w:rPr>
        <w:t>
      Суворова С.В., директора ТОО "Астана Медикал Продукт";</w:t>
      </w:r>
    </w:p>
    <w:bookmarkEnd w:id="59"/>
    <w:bookmarkStart w:name="z64" w:id="60"/>
    <w:p>
      <w:pPr>
        <w:spacing w:after="0"/>
        <w:ind w:left="0"/>
        <w:jc w:val="both"/>
      </w:pPr>
      <w:r>
        <w:rPr>
          <w:rFonts w:ascii="Times New Roman"/>
          <w:b w:val="false"/>
          <w:i w:val="false"/>
          <w:color w:val="000000"/>
          <w:sz w:val="28"/>
        </w:rPr>
        <w:t>
      Муратова А., представителя по доверенности ТОО "ZALMA Ltd";</w:t>
      </w:r>
    </w:p>
    <w:bookmarkEnd w:id="60"/>
    <w:bookmarkStart w:name="z65" w:id="61"/>
    <w:p>
      <w:pPr>
        <w:spacing w:after="0"/>
        <w:ind w:left="0"/>
        <w:jc w:val="both"/>
      </w:pPr>
      <w:r>
        <w:rPr>
          <w:rFonts w:ascii="Times New Roman"/>
          <w:b w:val="false"/>
          <w:i w:val="false"/>
          <w:color w:val="000000"/>
          <w:sz w:val="28"/>
        </w:rPr>
        <w:t>
      Мубаракшина Р.Ф., представителя по доверенности ТОО "ZALMA Ltd";</w:t>
      </w:r>
    </w:p>
    <w:bookmarkEnd w:id="61"/>
    <w:bookmarkStart w:name="z66" w:id="62"/>
    <w:p>
      <w:pPr>
        <w:spacing w:after="0"/>
        <w:ind w:left="0"/>
        <w:jc w:val="both"/>
      </w:pPr>
      <w:r>
        <w:rPr>
          <w:rFonts w:ascii="Times New Roman"/>
          <w:b w:val="false"/>
          <w:i w:val="false"/>
          <w:color w:val="000000"/>
          <w:sz w:val="28"/>
        </w:rPr>
        <w:t>
      Смагулова Б.Ж., представителя по доверенности ТОО "ZALMA Ltd";</w:t>
      </w:r>
    </w:p>
    <w:bookmarkEnd w:id="62"/>
    <w:bookmarkStart w:name="z67" w:id="63"/>
    <w:p>
      <w:pPr>
        <w:spacing w:after="0"/>
        <w:ind w:left="0"/>
        <w:jc w:val="both"/>
      </w:pPr>
      <w:r>
        <w:rPr>
          <w:rFonts w:ascii="Times New Roman"/>
          <w:b w:val="false"/>
          <w:i w:val="false"/>
          <w:color w:val="000000"/>
          <w:sz w:val="28"/>
        </w:rPr>
        <w:t>
      Акулич О.А., директора СООО "АСВ Трейд Сервис";</w:t>
      </w:r>
    </w:p>
    <w:bookmarkEnd w:id="63"/>
    <w:bookmarkStart w:name="z68" w:id="64"/>
    <w:p>
      <w:pPr>
        <w:spacing w:after="0"/>
        <w:ind w:left="0"/>
        <w:jc w:val="both"/>
      </w:pPr>
      <w:r>
        <w:rPr>
          <w:rFonts w:ascii="Times New Roman"/>
          <w:b w:val="false"/>
          <w:i w:val="false"/>
          <w:color w:val="000000"/>
          <w:sz w:val="28"/>
        </w:rPr>
        <w:t>
      Локшиной Е.А., представителя по доверенности "Дина Интернешнл".</w:t>
      </w:r>
    </w:p>
    <w:bookmarkEnd w:id="64"/>
    <w:bookmarkStart w:name="z69" w:id="65"/>
    <w:p>
      <w:pPr>
        <w:spacing w:after="0"/>
        <w:ind w:left="0"/>
        <w:jc w:val="both"/>
      </w:pPr>
      <w:r>
        <w:rPr>
          <w:rFonts w:ascii="Times New Roman"/>
          <w:b w:val="false"/>
          <w:i w:val="false"/>
          <w:color w:val="000000"/>
          <w:sz w:val="28"/>
        </w:rPr>
        <w:t>
      По результатам проведенного расследования и рассмотрения дела установлено следующее.</w:t>
      </w:r>
    </w:p>
    <w:bookmarkEnd w:id="65"/>
    <w:bookmarkStart w:name="z70" w:id="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Протоколом и пунктом 1 </w:t>
      </w:r>
      <w:r>
        <w:rPr>
          <w:rFonts w:ascii="Times New Roman"/>
          <w:b w:val="false"/>
          <w:i w:val="false"/>
          <w:color w:val="000000"/>
          <w:sz w:val="28"/>
        </w:rPr>
        <w:t xml:space="preserve">Решения </w:t>
      </w:r>
      <w:r>
        <w:rPr>
          <w:rFonts w:ascii="Times New Roman"/>
          <w:b w:val="false"/>
          <w:i w:val="false"/>
          <w:color w:val="000000"/>
          <w:sz w:val="28"/>
        </w:rPr>
        <w:t xml:space="preserve">Коллегии Евразийской экономической комиссии от 14 мая 2013 г. № 112 основанием для проведения расследования нарушения общих правил конкуренции на трансграничных рынках послужило определение о проведении расследования от 20 мая 2020 г. № 30/опр, вынесенное по факту наличия возможных признаков нарушения общих правил конкуренции на трансграничных рынках оптовой реализации офтальмохирургического оборудования и его расходных материалов производства группы компаний "Alcon" (далее – расследование), обнаруженных Комиссией. </w:t>
      </w:r>
    </w:p>
    <w:bookmarkEnd w:id="66"/>
    <w:bookmarkStart w:name="z71" w:id="67"/>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проведения расследования определением о продлении срока проведения расследования от 31 августа 2020 г. № 62/опр продлила срок проведения расследования на 60 рабочих дней.</w:t>
      </w:r>
    </w:p>
    <w:bookmarkEnd w:id="67"/>
    <w:bookmarkStart w:name="z72"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Протокола, </w:t>
      </w:r>
      <w:r>
        <w:rPr>
          <w:rFonts w:ascii="Times New Roman"/>
          <w:b w:val="false"/>
          <w:i w:val="false"/>
          <w:color w:val="000000"/>
          <w:sz w:val="28"/>
        </w:rPr>
        <w:t>подпунктом 1</w:t>
      </w:r>
      <w:r>
        <w:rPr>
          <w:rFonts w:ascii="Times New Roman"/>
          <w:b w:val="false"/>
          <w:i w:val="false"/>
          <w:color w:val="000000"/>
          <w:sz w:val="28"/>
        </w:rPr>
        <w:t xml:space="preserve"> пункта 11,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Порядка проведения расследования, </w:t>
      </w:r>
      <w:r>
        <w:rPr>
          <w:rFonts w:ascii="Times New Roman"/>
          <w:b w:val="false"/>
          <w:i w:val="false"/>
          <w:color w:val="000000"/>
          <w:sz w:val="28"/>
        </w:rPr>
        <w:t>пунктом 2</w:t>
      </w:r>
      <w:r>
        <w:rPr>
          <w:rFonts w:ascii="Times New Roman"/>
          <w:b w:val="false"/>
          <w:i w:val="false"/>
          <w:color w:val="000000"/>
          <w:sz w:val="28"/>
        </w:rPr>
        <w:t xml:space="preserve"> Порядка рассмотрения дел, в связи с выявлением в ходе расследования признаков нарушения общих правил конкуренции на трансграничных рынках возбуждено дело о нарушении общих правил конкуренции на трансграничных рынках и создана комиссия по его рассмотрению, о чем вынесено соответствующее определение от 15 декабря 2020 г. № 95/опр.</w:t>
      </w:r>
    </w:p>
    <w:bookmarkEnd w:id="68"/>
    <w:bookmarkStart w:name="z73" w:id="69"/>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Методикой оценки состояния конкуренции,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30 января 2013 г. № 7 (далее – Методика), Комиссией проведена оценка состояния конкуренции на трансграничных рынках оптовой реализации офтальмохирургического оборудования и его расходных материалов производства группы компаний "Alcon".</w:t>
      </w:r>
    </w:p>
    <w:bookmarkEnd w:id="69"/>
    <w:bookmarkStart w:name="z74" w:id="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70"/>
    <w:bookmarkStart w:name="z75" w:id="71"/>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раздела II</w:t>
      </w:r>
      <w:r>
        <w:rPr>
          <w:rFonts w:ascii="Times New Roman"/>
          <w:b w:val="false"/>
          <w:i w:val="false"/>
          <w:color w:val="000000"/>
          <w:sz w:val="28"/>
        </w:rPr>
        <w:t xml:space="preserve"> Методики временной интервал исследования рынка определен с 1 января 2018 г. по I полугодие 2020 г.</w:t>
      </w:r>
    </w:p>
    <w:bookmarkEnd w:id="71"/>
    <w:bookmarkStart w:name="z76" w:id="72"/>
    <w:p>
      <w:pPr>
        <w:spacing w:after="0"/>
        <w:ind w:left="0"/>
        <w:jc w:val="both"/>
      </w:pPr>
      <w:r>
        <w:rPr>
          <w:rFonts w:ascii="Times New Roman"/>
          <w:b w:val="false"/>
          <w:i w:val="false"/>
          <w:color w:val="000000"/>
          <w:sz w:val="28"/>
        </w:rPr>
        <w:t>
      Из содержания дистрибьюторских соглашений (соглашений о дистрибуции), заключенных компанией "Alcon Pharmaceuticals Ltd" и ООО "Алкон Фармацевтика" с хозяйствующими субъектами (субъектами рынка) государств-членов, следует, что предметом соглашений является продажа произведенного группой компаний "Alcon" офтальмохирургического оборудования, которое включает в себя ряд медицинских изделий, принадлежности и расходные материалы к ним для лечения заболеваний глаза.</w:t>
      </w:r>
    </w:p>
    <w:bookmarkEnd w:id="72"/>
    <w:bookmarkStart w:name="z77" w:id="73"/>
    <w:p>
      <w:pPr>
        <w:spacing w:after="0"/>
        <w:ind w:left="0"/>
        <w:jc w:val="both"/>
      </w:pPr>
      <w:r>
        <w:rPr>
          <w:rFonts w:ascii="Times New Roman"/>
          <w:b w:val="false"/>
          <w:i w:val="false"/>
          <w:color w:val="000000"/>
          <w:sz w:val="28"/>
        </w:rPr>
        <w:t xml:space="preserve">
      Деятельность по реализации офтальмологического (офтальмохирургического) оборудования в государствах-членах классифицируется следующим образом: </w:t>
      </w:r>
    </w:p>
    <w:bookmarkEnd w:id="73"/>
    <w:bookmarkStart w:name="z78" w:id="74"/>
    <w:p>
      <w:pPr>
        <w:spacing w:after="0"/>
        <w:ind w:left="0"/>
        <w:jc w:val="both"/>
      </w:pPr>
      <w:r>
        <w:rPr>
          <w:rFonts w:ascii="Times New Roman"/>
          <w:b w:val="false"/>
          <w:i w:val="false"/>
          <w:color w:val="000000"/>
          <w:sz w:val="28"/>
        </w:rPr>
        <w:t>
      в Республике Беларусь согласно Общегосударственному классификатору Республики Беларусь ОКРБ 005-2011 "Виды экономической деятельности" – код 6460 (оптовая торговля фармацевтическими, ветеринарными, медицинскими и ортопедическими товарами);</w:t>
      </w:r>
    </w:p>
    <w:bookmarkEnd w:id="74"/>
    <w:bookmarkStart w:name="z79" w:id="75"/>
    <w:p>
      <w:pPr>
        <w:spacing w:after="0"/>
        <w:ind w:left="0"/>
        <w:jc w:val="both"/>
      </w:pPr>
      <w:r>
        <w:rPr>
          <w:rFonts w:ascii="Times New Roman"/>
          <w:b w:val="false"/>
          <w:i w:val="false"/>
          <w:color w:val="000000"/>
          <w:sz w:val="28"/>
        </w:rPr>
        <w:t>
      в Республике Казахстан согласно Общему классификатору видов экономической деятельности Республики Казахстан НК РК 03-2019 – код 46.46.3 (оптовая торговля медицинской техникой и ортопедическими изделиями);</w:t>
      </w:r>
    </w:p>
    <w:bookmarkEnd w:id="75"/>
    <w:bookmarkStart w:name="z80" w:id="76"/>
    <w:p>
      <w:pPr>
        <w:spacing w:after="0"/>
        <w:ind w:left="0"/>
        <w:jc w:val="both"/>
      </w:pPr>
      <w:r>
        <w:rPr>
          <w:rFonts w:ascii="Times New Roman"/>
          <w:b w:val="false"/>
          <w:i w:val="false"/>
          <w:color w:val="000000"/>
          <w:sz w:val="28"/>
        </w:rPr>
        <w:t>
      в Кыргызской Республике согласно Государственному классификатору видов экономической деятельности Кыргызской Республики ГК 014-2011 – код 46.46.0 (оптовая торговля фармацевтическими товарами);</w:t>
      </w:r>
    </w:p>
    <w:bookmarkEnd w:id="76"/>
    <w:bookmarkStart w:name="z81" w:id="77"/>
    <w:p>
      <w:pPr>
        <w:spacing w:after="0"/>
        <w:ind w:left="0"/>
        <w:jc w:val="both"/>
      </w:pPr>
      <w:r>
        <w:rPr>
          <w:rFonts w:ascii="Times New Roman"/>
          <w:b w:val="false"/>
          <w:i w:val="false"/>
          <w:color w:val="000000"/>
          <w:sz w:val="28"/>
        </w:rPr>
        <w:t>
      в Российской Федерации согласно Общероссийскому классификатору видов экономической деятельности ОК 029-2014 – код 46.46.1 (торговля оптовая фармацевтической продукцией).</w:t>
      </w:r>
    </w:p>
    <w:bookmarkEnd w:id="77"/>
    <w:bookmarkStart w:name="z82" w:id="78"/>
    <w:p>
      <w:pPr>
        <w:spacing w:after="0"/>
        <w:ind w:left="0"/>
        <w:jc w:val="both"/>
      </w:pPr>
      <w:r>
        <w:rPr>
          <w:rFonts w:ascii="Times New Roman"/>
          <w:b w:val="false"/>
          <w:i w:val="false"/>
          <w:color w:val="000000"/>
          <w:sz w:val="28"/>
        </w:rPr>
        <w:t xml:space="preserve">
      Согласно сведениям, полученным от органов государственной власти государств-членов, уполномоченных в сфере здравоохранения, и национальных медицинских научно-исследовательских институтов и центров, следует, что офтальмохирургическое оборудование в области хирургии, катаракты, глаукомы и витреоретинальной хирургии используется для стандартного оснащения офтальмологических отделений и центров в соответствии с порядками оказания медицинской помощи взрослому и детскому населению при заболеваниях глаза, его придаточного аппарата и орбиты. </w:t>
      </w:r>
    </w:p>
    <w:bookmarkEnd w:id="78"/>
    <w:bookmarkStart w:name="z83" w:id="79"/>
    <w:p>
      <w:pPr>
        <w:spacing w:after="0"/>
        <w:ind w:left="0"/>
        <w:jc w:val="both"/>
      </w:pPr>
      <w:r>
        <w:rPr>
          <w:rFonts w:ascii="Times New Roman"/>
          <w:b w:val="false"/>
          <w:i w:val="false"/>
          <w:color w:val="000000"/>
          <w:sz w:val="28"/>
        </w:rPr>
        <w:t xml:space="preserve">
      В отсутствие данного оборудования невозможно проведение хирургического лечения катаракты, глаукомы и витреоретинальной патологии на современном уровне. </w:t>
      </w:r>
    </w:p>
    <w:bookmarkEnd w:id="79"/>
    <w:bookmarkStart w:name="z84" w:id="80"/>
    <w:p>
      <w:pPr>
        <w:spacing w:after="0"/>
        <w:ind w:left="0"/>
        <w:jc w:val="both"/>
      </w:pPr>
      <w:r>
        <w:rPr>
          <w:rFonts w:ascii="Times New Roman"/>
          <w:b w:val="false"/>
          <w:i w:val="false"/>
          <w:color w:val="000000"/>
          <w:sz w:val="28"/>
        </w:rPr>
        <w:t xml:space="preserve">
      Для каждого из видов офтальмохирургии (факоэмульсификации катаракты, факоэмульсификации и витрэктомии, лазерной и криохирургии) применяется оборудование одного или нескольких видов с соответствующими функциональными характеристиками в каждом конкретном случае в отношении определенного пациента. Как правило, оборудование, задействованное в указанных операциях, определяется лечащим врачом на основании стандартов и протоколов лечения соответствующих заболеваний. </w:t>
      </w:r>
    </w:p>
    <w:bookmarkEnd w:id="80"/>
    <w:bookmarkStart w:name="z85" w:id="81"/>
    <w:p>
      <w:pPr>
        <w:spacing w:after="0"/>
        <w:ind w:left="0"/>
        <w:jc w:val="both"/>
      </w:pPr>
      <w:r>
        <w:rPr>
          <w:rFonts w:ascii="Times New Roman"/>
          <w:b w:val="false"/>
          <w:i w:val="false"/>
          <w:color w:val="000000"/>
          <w:sz w:val="28"/>
        </w:rPr>
        <w:t>
      Согласно утвержденным стандартам оснащения указанные хирургические системы должны стоять на балансе медицинской организации, имеющей лицензию на данный вид деятельности, в комплектации с принадлежностями и аксессуарами для выполнения основных видов офтальмохирургических вмешательств.</w:t>
      </w:r>
    </w:p>
    <w:bookmarkEnd w:id="81"/>
    <w:bookmarkStart w:name="z86" w:id="82"/>
    <w:p>
      <w:pPr>
        <w:spacing w:after="0"/>
        <w:ind w:left="0"/>
        <w:jc w:val="both"/>
      </w:pPr>
      <w:r>
        <w:rPr>
          <w:rFonts w:ascii="Times New Roman"/>
          <w:b w:val="false"/>
          <w:i w:val="false"/>
          <w:color w:val="000000"/>
          <w:sz w:val="28"/>
        </w:rPr>
        <w:t>
      Офтальмохирургическое оборудование используется для хирургического лечения заболеваний глаза, а именно всех видов катаракт, всех видов глаукомы, витреоретинальной патологии (отслойки сетчатки, осложнений сахарного диабета, травм органа зрения, удаления инородных тел передней и задней локализации в полости глаза, врожденной патологии и т. д.).</w:t>
      </w:r>
    </w:p>
    <w:bookmarkEnd w:id="82"/>
    <w:bookmarkStart w:name="z87" w:id="83"/>
    <w:p>
      <w:pPr>
        <w:spacing w:after="0"/>
        <w:ind w:left="0"/>
        <w:jc w:val="both"/>
      </w:pPr>
      <w:r>
        <w:rPr>
          <w:rFonts w:ascii="Times New Roman"/>
          <w:b w:val="false"/>
          <w:i w:val="false"/>
          <w:color w:val="000000"/>
          <w:sz w:val="28"/>
        </w:rPr>
        <w:t>
      Офтальмохирургическое оборудование производства группы компаний "Alcon" приобреталось в рамках дистрибьюторских соглашений (соглашений о дистрибуции), заключенных компанией "Alcon Pharmaceuticals Ltd" и (или) ООО "Алкон Фармацевтика" с хозяйствующими субъектами (субъектами рынка) государств-членов с целью последующей перепродажи данного оборудования.</w:t>
      </w:r>
    </w:p>
    <w:bookmarkEnd w:id="83"/>
    <w:bookmarkStart w:name="z88" w:id="84"/>
    <w:p>
      <w:pPr>
        <w:spacing w:after="0"/>
        <w:ind w:left="0"/>
        <w:jc w:val="both"/>
      </w:pPr>
      <w:r>
        <w:rPr>
          <w:rFonts w:ascii="Times New Roman"/>
          <w:b w:val="false"/>
          <w:i w:val="false"/>
          <w:color w:val="000000"/>
          <w:sz w:val="28"/>
        </w:rPr>
        <w:t>
      Основное количество офтальмохирургического оборудования в Республике Беларусь, Республике Казахстан, Кыргызской Республике и Российской Федерации реализуется как по государственным контрактам в соответствии с законодательством этих государств в области государственных закупок, так и не по государственным контрактам организациям в сфере здравоохранения на основании договоров поставки (купли-продажи).</w:t>
      </w:r>
    </w:p>
    <w:bookmarkEnd w:id="84"/>
    <w:bookmarkStart w:name="z89" w:id="85"/>
    <w:p>
      <w:pPr>
        <w:spacing w:after="0"/>
        <w:ind w:left="0"/>
        <w:jc w:val="both"/>
      </w:pPr>
      <w:r>
        <w:rPr>
          <w:rFonts w:ascii="Times New Roman"/>
          <w:b w:val="false"/>
          <w:i w:val="false"/>
          <w:color w:val="000000"/>
          <w:sz w:val="28"/>
        </w:rPr>
        <w:t>
      Конечными приобретателями офтальмохирургического оборудования являются медицинские организации, имеющие медицинскую лицензию на осуществление деятельности в области офтальмологии (в том числе имеющие право оказывать высокотехнологичную медицинскую помощь). Названное оборудование приобретается ими для оказания медицинской помощи взрослому и детскому населению при заболеваниях глаза, его придаточного аппарата и орбиты посредством проведения офтальмохирургических вмешательств по следующим направлениям: катарактальная хирургия (патологии хрусталика), витреоретинальная хирургия (патологии заднего отрезка глаза), хирургия глаукомы и др.</w:t>
      </w:r>
    </w:p>
    <w:bookmarkEnd w:id="85"/>
    <w:bookmarkStart w:name="z90" w:id="86"/>
    <w:p>
      <w:pPr>
        <w:spacing w:after="0"/>
        <w:ind w:left="0"/>
        <w:jc w:val="both"/>
      </w:pPr>
      <w:r>
        <w:rPr>
          <w:rFonts w:ascii="Times New Roman"/>
          <w:b w:val="false"/>
          <w:i w:val="false"/>
          <w:color w:val="000000"/>
          <w:sz w:val="28"/>
        </w:rPr>
        <w:t xml:space="preserve">
      Витреоретинальная хирургия (операции на сетчатке и стекловидном теле) и катарактальная хирургия (операции на хрусталике) – высокоспециализированная хирургия, поэтому оборудование и инструменты должны строго соответствовать своему назначению. </w:t>
      </w:r>
    </w:p>
    <w:bookmarkEnd w:id="86"/>
    <w:p>
      <w:pPr>
        <w:spacing w:after="0"/>
        <w:ind w:left="0"/>
        <w:jc w:val="both"/>
      </w:pPr>
      <w:bookmarkStart w:name="z91" w:id="87"/>
      <w:r>
        <w:rPr>
          <w:rFonts w:ascii="Times New Roman"/>
          <w:b w:val="false"/>
          <w:i w:val="false"/>
          <w:color w:val="000000"/>
          <w:sz w:val="28"/>
        </w:rPr>
        <w:t xml:space="preserve">
      В ходе этих операций используется сложное высокотехнологичное оборудование (комбинированная хирургическая система), к которому предъявляются высокие требования по качеству </w:t>
      </w:r>
    </w:p>
    <w:bookmarkEnd w:id="87"/>
    <w:p>
      <w:pPr>
        <w:spacing w:after="0"/>
        <w:ind w:left="0"/>
        <w:jc w:val="both"/>
      </w:pPr>
      <w:r>
        <w:rPr>
          <w:rFonts w:ascii="Times New Roman"/>
          <w:b w:val="false"/>
          <w:i w:val="false"/>
          <w:color w:val="000000"/>
          <w:sz w:val="28"/>
        </w:rPr>
        <w:t>и гарантиям как при его производстве, так и при последующем обслуживании.</w:t>
      </w:r>
    </w:p>
    <w:bookmarkStart w:name="z92" w:id="88"/>
    <w:p>
      <w:pPr>
        <w:spacing w:after="0"/>
        <w:ind w:left="0"/>
        <w:jc w:val="both"/>
      </w:pPr>
      <w:r>
        <w:rPr>
          <w:rFonts w:ascii="Times New Roman"/>
          <w:b w:val="false"/>
          <w:i w:val="false"/>
          <w:color w:val="000000"/>
          <w:sz w:val="28"/>
        </w:rPr>
        <w:t>
      Комбинированные хирургические системы позволяют выполнять все типы вмешательств на заднем и переднем отрезке глаза, проводить как витреоретинальную хирургию, так и факоэмульсификацию с удалением катаракты, подходит для выполнения различных витреоретинальных хирургических вмешательств и проведения ультразвуковой факоэмульсификации катаракты.</w:t>
      </w:r>
    </w:p>
    <w:bookmarkEnd w:id="88"/>
    <w:bookmarkStart w:name="z93" w:id="89"/>
    <w:p>
      <w:pPr>
        <w:spacing w:after="0"/>
        <w:ind w:left="0"/>
        <w:jc w:val="both"/>
      </w:pPr>
      <w:r>
        <w:rPr>
          <w:rFonts w:ascii="Times New Roman"/>
          <w:b w:val="false"/>
          <w:i w:val="false"/>
          <w:color w:val="000000"/>
          <w:sz w:val="28"/>
        </w:rPr>
        <w:t xml:space="preserve">
      Катарактальная хирургия (факоэмульсификация катаракты) основана на фрагментации вещества хрусталика ультразвуком и эвакуации его из полости глазного яблока ирригационно-аспирационным методом и в настоящее время является преобладающей хирургической процедурой, для проведения которой существует достаточное количество оборудования, обладающего теми или иными качественными и техническими преимуществами. </w:t>
      </w:r>
    </w:p>
    <w:bookmarkEnd w:id="89"/>
    <w:bookmarkStart w:name="z94" w:id="90"/>
    <w:p>
      <w:pPr>
        <w:spacing w:after="0"/>
        <w:ind w:left="0"/>
        <w:jc w:val="both"/>
      </w:pPr>
      <w:r>
        <w:rPr>
          <w:rFonts w:ascii="Times New Roman"/>
          <w:b w:val="false"/>
          <w:i w:val="false"/>
          <w:color w:val="000000"/>
          <w:sz w:val="28"/>
        </w:rPr>
        <w:t>
      Факоэмульсификационные системы позволяют оперировать катаракты со сверхмалыми разрезами с помощью ультразвуковой энергии. Такие системы предназначены для эффективного удаления самых плотных катаракт, снижают риск осложнений, ускоряют время проведения операций и позволяют проводить более безопасные для пациента операции.</w:t>
      </w:r>
    </w:p>
    <w:bookmarkEnd w:id="90"/>
    <w:bookmarkStart w:name="z95" w:id="91"/>
    <w:p>
      <w:pPr>
        <w:spacing w:after="0"/>
        <w:ind w:left="0"/>
        <w:jc w:val="both"/>
      </w:pPr>
      <w:r>
        <w:rPr>
          <w:rFonts w:ascii="Times New Roman"/>
          <w:b w:val="false"/>
          <w:i w:val="false"/>
          <w:color w:val="000000"/>
          <w:sz w:val="28"/>
        </w:rPr>
        <w:t xml:space="preserve">
      Системы факоэмульсификации (витрэктомии) (комбинированные) отличаются высокими хирургическими результатами, быстротой операционного восстановления зрения и минимизацией рисков послеоперационных осложнений, повышенной (на 39 процентов) производительностью выполнения операций (за счет быстрой подготовки к процедуре, безопасности использования и простоты, контроля хода операции и т. д.), хорошей визуализацией заднего отрезка глаза во время операции благодаря системе освещения. </w:t>
      </w:r>
    </w:p>
    <w:bookmarkEnd w:id="91"/>
    <w:bookmarkStart w:name="z96" w:id="92"/>
    <w:p>
      <w:pPr>
        <w:spacing w:after="0"/>
        <w:ind w:left="0"/>
        <w:jc w:val="both"/>
      </w:pPr>
      <w:r>
        <w:rPr>
          <w:rFonts w:ascii="Times New Roman"/>
          <w:b w:val="false"/>
          <w:i w:val="false"/>
          <w:color w:val="000000"/>
          <w:sz w:val="28"/>
        </w:rPr>
        <w:t>
      Офтальмохирургическое оборудование используется для повышения и сохранения остроты зрения при хирургии для лечения катаракты, глаукомы и витреоретинальной патологии – основных заболеваний, вызывающих инвалидизацию.</w:t>
      </w:r>
    </w:p>
    <w:bookmarkEnd w:id="92"/>
    <w:bookmarkStart w:name="z97" w:id="93"/>
    <w:p>
      <w:pPr>
        <w:spacing w:after="0"/>
        <w:ind w:left="0"/>
        <w:jc w:val="both"/>
      </w:pPr>
      <w:r>
        <w:rPr>
          <w:rFonts w:ascii="Times New Roman"/>
          <w:b w:val="false"/>
          <w:i w:val="false"/>
          <w:color w:val="000000"/>
          <w:sz w:val="28"/>
        </w:rPr>
        <w:t>
      Системы факоэмульсификации и системы факоэмульсификации (витрэктомии) (комбинированные) являются технически сложными устройствами, включающими в себя как аппаратную, так и программную части, индивидуально взаимодействующие и взаимно дополняющие друг друга.</w:t>
      </w:r>
    </w:p>
    <w:bookmarkEnd w:id="93"/>
    <w:bookmarkStart w:name="z98" w:id="94"/>
    <w:p>
      <w:pPr>
        <w:spacing w:after="0"/>
        <w:ind w:left="0"/>
        <w:jc w:val="both"/>
      </w:pPr>
      <w:r>
        <w:rPr>
          <w:rFonts w:ascii="Times New Roman"/>
          <w:b w:val="false"/>
          <w:i w:val="false"/>
          <w:color w:val="000000"/>
          <w:sz w:val="28"/>
        </w:rPr>
        <w:t xml:space="preserve">
      Анализ цен указывает на наличие различий в средневзвешенной стоимости реализации офтальмологической хирургической системы "Centurion Vision System" в Республике Беларусь, Республике Казахстан и Российской Федерации в пределах до 40 процентов. Конкретная стоимость в настоящем Решении не может быть приведена в связи с наличием грифа, свидетельствующего об отнесении этих сведений к информации ограниченного распространения. </w:t>
      </w:r>
    </w:p>
    <w:bookmarkEnd w:id="94"/>
    <w:bookmarkStart w:name="z99" w:id="95"/>
    <w:p>
      <w:pPr>
        <w:spacing w:after="0"/>
        <w:ind w:left="0"/>
        <w:jc w:val="both"/>
      </w:pPr>
      <w:r>
        <w:rPr>
          <w:rFonts w:ascii="Times New Roman"/>
          <w:b w:val="false"/>
          <w:i w:val="false"/>
          <w:color w:val="000000"/>
          <w:sz w:val="28"/>
        </w:rPr>
        <w:t>
      Указанные различия могут быть обусловлены регуляторной и иной спецификой обращения в государствах-членах, а также уровнем конкуренции в соответствующих государствах и отсутствием конкуренции между поставщиками государств-членов.</w:t>
      </w:r>
    </w:p>
    <w:bookmarkEnd w:id="95"/>
    <w:bookmarkStart w:name="z100" w:id="96"/>
    <w:p>
      <w:pPr>
        <w:spacing w:after="0"/>
        <w:ind w:left="0"/>
        <w:jc w:val="both"/>
      </w:pPr>
      <w:r>
        <w:rPr>
          <w:rFonts w:ascii="Times New Roman"/>
          <w:b w:val="false"/>
          <w:i w:val="false"/>
          <w:color w:val="000000"/>
          <w:sz w:val="28"/>
        </w:rPr>
        <w:t xml:space="preserve">
      В соответствии с законодательством государств-членов в сфере здравоохранения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 </w:t>
      </w:r>
    </w:p>
    <w:bookmarkEnd w:id="96"/>
    <w:bookmarkStart w:name="z101" w:id="97"/>
    <w:p>
      <w:pPr>
        <w:spacing w:after="0"/>
        <w:ind w:left="0"/>
        <w:jc w:val="both"/>
      </w:pPr>
      <w:r>
        <w:rPr>
          <w:rFonts w:ascii="Times New Roman"/>
          <w:b w:val="false"/>
          <w:i w:val="false"/>
          <w:color w:val="000000"/>
          <w:sz w:val="28"/>
        </w:rPr>
        <w:t xml:space="preserve">
      Государственная регистрация медицинских изделий осуществляется органами государственной власти государств-членов, уполномоченными в сфере здравоохранения. Документом, подтверждающим факт государственной регистрации медицинского изделия, является регистрационное удостоверение на медицинское изделие. </w:t>
      </w:r>
    </w:p>
    <w:bookmarkEnd w:id="97"/>
    <w:bookmarkStart w:name="z102" w:id="98"/>
    <w:p>
      <w:pPr>
        <w:spacing w:after="0"/>
        <w:ind w:left="0"/>
        <w:jc w:val="both"/>
      </w:pPr>
      <w:r>
        <w:rPr>
          <w:rFonts w:ascii="Times New Roman"/>
          <w:b w:val="false"/>
          <w:i w:val="false"/>
          <w:color w:val="000000"/>
          <w:sz w:val="28"/>
        </w:rPr>
        <w:t>
      Экспертные заключения, полученные от указанных органов, а также научно-исследовательских институтов и центров, позволяют сделать вывод о том, что офтальмохирургическое оборудование одного вида (факоэмульсификатор) не может быть взаимозаменяемым с офтальмохирургическим оборудованием другого вида (комбинированной системой) по своим техническим и иным характеристикам ввиду отсутствия ряда функциональных характеристик (витрэктомия, подключение световых зондов, работа системы введения вязких жидкостей и др.). Невозможность заменить одно оборудование другим определяется также методологией лечения, имеющимися протоколами, рекомендациями и уровнем квалификации врачей, их подготовленностью к работе с конкретным оборудованием.</w:t>
      </w:r>
    </w:p>
    <w:bookmarkEnd w:id="98"/>
    <w:bookmarkStart w:name="z103" w:id="99"/>
    <w:p>
      <w:pPr>
        <w:spacing w:after="0"/>
        <w:ind w:left="0"/>
        <w:jc w:val="both"/>
      </w:pPr>
      <w:r>
        <w:rPr>
          <w:rFonts w:ascii="Times New Roman"/>
          <w:b w:val="false"/>
          <w:i w:val="false"/>
          <w:color w:val="000000"/>
          <w:sz w:val="28"/>
        </w:rPr>
        <w:t xml:space="preserve">
      Таким образом, на основании функционального назначения (в том числе потребительских свойств), цели приобретения (перепродажа), качественных и технических характеристик (эксплуатационных показателей, ограничений по транспортировке и хранению, условий сборки, ремонта, технического обслуживания (включая гарантийное обслуживание), особенностей производственного потребления и др.), цены и условий реализации систем факоэмульсификации и факоэмульсификации (витрэктомии) продуктовыми границами товарного рынка определен рынок оптовой реализации и обслуживания систем факоэмульсификации и факоэмульсификации (витрэктомии) (далее – товарный рынок). </w:t>
      </w:r>
    </w:p>
    <w:bookmarkEnd w:id="99"/>
    <w:bookmarkStart w:name="z104" w:id="100"/>
    <w:p>
      <w:pPr>
        <w:spacing w:after="0"/>
        <w:ind w:left="0"/>
        <w:jc w:val="both"/>
      </w:pPr>
      <w:r>
        <w:rPr>
          <w:rFonts w:ascii="Times New Roman"/>
          <w:b w:val="false"/>
          <w:i w:val="false"/>
          <w:color w:val="000000"/>
          <w:sz w:val="28"/>
        </w:rPr>
        <w:t>
      Исходя из заключенных договоров (соглашений) и данных о взаимной и внешней торговле деятельность на товарном рынке на территориях государств-членов осуществляют:</w:t>
      </w:r>
    </w:p>
    <w:bookmarkEnd w:id="100"/>
    <w:bookmarkStart w:name="z105" w:id="101"/>
    <w:p>
      <w:pPr>
        <w:spacing w:after="0"/>
        <w:ind w:left="0"/>
        <w:jc w:val="both"/>
      </w:pPr>
      <w:r>
        <w:rPr>
          <w:rFonts w:ascii="Times New Roman"/>
          <w:b w:val="false"/>
          <w:i w:val="false"/>
          <w:color w:val="000000"/>
          <w:sz w:val="28"/>
        </w:rPr>
        <w:t xml:space="preserve">
      в Республике Беларусь на основании заключенных с компанией "Alcon Pharmaceuticals Ltd" соглашений о дистрибуции – СООО "АСВ Трейд Сервис" и "Дина Интернешнл"; </w:t>
      </w:r>
    </w:p>
    <w:bookmarkEnd w:id="101"/>
    <w:bookmarkStart w:name="z106" w:id="102"/>
    <w:p>
      <w:pPr>
        <w:spacing w:after="0"/>
        <w:ind w:left="0"/>
        <w:jc w:val="both"/>
      </w:pPr>
      <w:r>
        <w:rPr>
          <w:rFonts w:ascii="Times New Roman"/>
          <w:b w:val="false"/>
          <w:i w:val="false"/>
          <w:color w:val="000000"/>
          <w:sz w:val="28"/>
        </w:rPr>
        <w:t xml:space="preserve">
      в Республике Казахстан на основании заключенных с компанией "Alcon Pharmaceuticals Ltd" соглашений о дистрибуции – ТОО "Астана Медикал Продукт", ТОО "Zalma Ltd" и ТОО "MD Tech"; </w:t>
      </w:r>
    </w:p>
    <w:bookmarkEnd w:id="102"/>
    <w:bookmarkStart w:name="z107" w:id="103"/>
    <w:p>
      <w:pPr>
        <w:spacing w:after="0"/>
        <w:ind w:left="0"/>
        <w:jc w:val="both"/>
      </w:pPr>
      <w:r>
        <w:rPr>
          <w:rFonts w:ascii="Times New Roman"/>
          <w:b w:val="false"/>
          <w:i w:val="false"/>
          <w:color w:val="000000"/>
          <w:sz w:val="28"/>
        </w:rPr>
        <w:t>
      в Кыргызской Республике на основании заключенного с компанией "Alcon Pharmaceuticals Ltd" соглашения о дистрибуции – ООО "ЮниХелп";</w:t>
      </w:r>
    </w:p>
    <w:bookmarkEnd w:id="103"/>
    <w:bookmarkStart w:name="z108" w:id="104"/>
    <w:p>
      <w:pPr>
        <w:spacing w:after="0"/>
        <w:ind w:left="0"/>
        <w:jc w:val="both"/>
      </w:pPr>
      <w:r>
        <w:rPr>
          <w:rFonts w:ascii="Times New Roman"/>
          <w:b w:val="false"/>
          <w:i w:val="false"/>
          <w:color w:val="000000"/>
          <w:sz w:val="28"/>
        </w:rPr>
        <w:t>
      в Российской Федерации на основании заключенных с компаниями группы "Alcon" в составе компаний "Alcon Pharmaceuticals Ltd" и ООО "Алкон Фармацевтика" соглашений о дистрибуции – ООО "Алкон Фармацевтика", ООО "ПрофиМед", ООО "Оптикс-Альянс", ООО "ИОЛ", ООО "Регал", АО "ИнтелМед", ООО "Ортус-Медицинские Системы", ООО "Офтамедика", ООО "ОМГ", ООО "Витал Эстетик Рус", ООО "Объединенная Медицинская Группа", ООО "АМ-Медикал" и ООО "Куфран-РМ".</w:t>
      </w:r>
    </w:p>
    <w:bookmarkEnd w:id="104"/>
    <w:bookmarkStart w:name="z109" w:id="105"/>
    <w:p>
      <w:pPr>
        <w:spacing w:after="0"/>
        <w:ind w:left="0"/>
        <w:jc w:val="both"/>
      </w:pPr>
      <w:r>
        <w:rPr>
          <w:rFonts w:ascii="Times New Roman"/>
          <w:b w:val="false"/>
          <w:i w:val="false"/>
          <w:color w:val="000000"/>
          <w:sz w:val="28"/>
        </w:rPr>
        <w:t xml:space="preserve">
      Структура поставок систем факоэмульсификации и факоэмульсификации (витрэктомии) производства группы компаний "Alcon" (далее – товар) предусматривает поставки компанией "Alcon Pharmaceuticals Ltd" дистрибьюторам, зарегистрированным на территориях Республики Беларусь, Республики Казахстан, Кыргызской Республики и Российской Федерации. </w:t>
      </w:r>
    </w:p>
    <w:bookmarkEnd w:id="105"/>
    <w:bookmarkStart w:name="z110" w:id="106"/>
    <w:p>
      <w:pPr>
        <w:spacing w:after="0"/>
        <w:ind w:left="0"/>
        <w:jc w:val="both"/>
      </w:pPr>
      <w:r>
        <w:rPr>
          <w:rFonts w:ascii="Times New Roman"/>
          <w:b w:val="false"/>
          <w:i w:val="false"/>
          <w:color w:val="000000"/>
          <w:sz w:val="28"/>
        </w:rPr>
        <w:t>
      В Российской Федерации компания "Alcon Pharmaceuticals Ltd" является учредителем ООО "Алкон Фармацевтика". В соответствии с абзацем вторым подпункта 5 пункта 2 Протокола указанные компании признаются одной группой лиц (в связи с тем, что одно юридическое лицо имеет в силу своего участия в другом юридическом лице более чем 50 процентов общего количества голосов, приходящихся на голосующие акции (доли) в уставном (складочном) капитале этого другого хозяйственного общества).</w:t>
      </w:r>
    </w:p>
    <w:bookmarkEnd w:id="106"/>
    <w:bookmarkStart w:name="z111" w:id="107"/>
    <w:p>
      <w:pPr>
        <w:spacing w:after="0"/>
        <w:ind w:left="0"/>
        <w:jc w:val="both"/>
      </w:pPr>
      <w:r>
        <w:rPr>
          <w:rFonts w:ascii="Times New Roman"/>
          <w:b w:val="false"/>
          <w:i w:val="false"/>
          <w:color w:val="000000"/>
          <w:sz w:val="28"/>
        </w:rPr>
        <w:t xml:space="preserve">
      Согласно абзацу девятому </w:t>
      </w:r>
      <w:r>
        <w:rPr>
          <w:rFonts w:ascii="Times New Roman"/>
          <w:b w:val="false"/>
          <w:i w:val="false"/>
          <w:color w:val="000000"/>
          <w:sz w:val="28"/>
        </w:rPr>
        <w:t>подпункта 5</w:t>
      </w:r>
      <w:r>
        <w:rPr>
          <w:rFonts w:ascii="Times New Roman"/>
          <w:b w:val="false"/>
          <w:i w:val="false"/>
          <w:color w:val="000000"/>
          <w:sz w:val="28"/>
        </w:rPr>
        <w:t xml:space="preserve"> пункта 2 Протокола одна группа лиц рассматривается как единый хозяйствующий субъект (субъект рынка) и на нее распространяются положения раздела XVIII Договора и Протокола, относящиеся к хозяйствующим субъектам (субъектам рынка), за исключением случаев, предусмотренных Протоколом.</w:t>
      </w:r>
    </w:p>
    <w:bookmarkEnd w:id="107"/>
    <w:bookmarkStart w:name="z112" w:id="108"/>
    <w:p>
      <w:pPr>
        <w:spacing w:after="0"/>
        <w:ind w:left="0"/>
        <w:jc w:val="both"/>
      </w:pPr>
      <w:r>
        <w:rPr>
          <w:rFonts w:ascii="Times New Roman"/>
          <w:b w:val="false"/>
          <w:i w:val="false"/>
          <w:color w:val="000000"/>
          <w:sz w:val="28"/>
        </w:rPr>
        <w:t>
      Ввиду отсутствия установленных исключений резюмируется, что компания "Alcon Pharmaceuticals Ltd" и ООО "Алкон Фармацевтика" являются одной группой лиц и, как следствие, рассматриваются как единый хозяйствующий субъект (субъект рынка) (далее – субъект рынка "Alcon").</w:t>
      </w:r>
    </w:p>
    <w:bookmarkEnd w:id="108"/>
    <w:bookmarkStart w:name="z113" w:id="109"/>
    <w:p>
      <w:pPr>
        <w:spacing w:after="0"/>
        <w:ind w:left="0"/>
        <w:jc w:val="both"/>
      </w:pPr>
      <w:r>
        <w:rPr>
          <w:rFonts w:ascii="Times New Roman"/>
          <w:b w:val="false"/>
          <w:i w:val="false"/>
          <w:color w:val="000000"/>
          <w:sz w:val="28"/>
        </w:rPr>
        <w:t xml:space="preserve">
      Поставка товара на территорию Российской Федерации происходит либо посредством первичной продажи товара внутри субъекта рынка "Alcon", который выполняет в дальнейшем функцию товаропроводящей сети, либо непосредственно компанией "Alcon Pharmaceuticals Ltd" путем первичной продажи товара другим контрагентам. </w:t>
      </w:r>
    </w:p>
    <w:bookmarkEnd w:id="109"/>
    <w:bookmarkStart w:name="z114" w:id="110"/>
    <w:p>
      <w:pPr>
        <w:spacing w:after="0"/>
        <w:ind w:left="0"/>
        <w:jc w:val="both"/>
      </w:pPr>
      <w:r>
        <w:rPr>
          <w:rFonts w:ascii="Times New Roman"/>
          <w:b w:val="false"/>
          <w:i w:val="false"/>
          <w:color w:val="000000"/>
          <w:sz w:val="28"/>
        </w:rPr>
        <w:t xml:space="preserve">
      В последующем, как правило, ООО "Алкон Фармацевтика" и другие контрагенты компании "Alcon Pharmaceuticals Ltd" реализуют товар государственным (бюджетным) и коммерческим организациям на территориях Республики Беларусь, Республики Казахстан, Кыргызской Республики и Российской Федерации, в том числе мелкооптовым покупателям. Конечными потребителями товара являются медицинские учреждения и организации, оказывающие профильные медицинские услуги. </w:t>
      </w:r>
    </w:p>
    <w:bookmarkEnd w:id="110"/>
    <w:bookmarkStart w:name="z115" w:id="11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26</w:t>
      </w:r>
      <w:r>
        <w:rPr>
          <w:rFonts w:ascii="Times New Roman"/>
          <w:b w:val="false"/>
          <w:i w:val="false"/>
          <w:color w:val="000000"/>
          <w:sz w:val="28"/>
        </w:rPr>
        <w:t xml:space="preserve"> Методики при определении географических границ товарного рынка в целях установления его соответствия Критериям отнесения рынка к трансграничному,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19 декабря 2012 г. № 29, выявляются следующие признаки трансграничности товарного рынка: поставка товара с территории одного государства-члена на территорию другого государства-члена и (или) поставка товара с территорий третьих стран на территории 2 или более государств-членов.</w:t>
      </w:r>
    </w:p>
    <w:bookmarkEnd w:id="111"/>
    <w:bookmarkStart w:name="z116" w:id="112"/>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раздела IV</w:t>
      </w:r>
      <w:r>
        <w:rPr>
          <w:rFonts w:ascii="Times New Roman"/>
          <w:b w:val="false"/>
          <w:i w:val="false"/>
          <w:color w:val="000000"/>
          <w:sz w:val="28"/>
        </w:rPr>
        <w:t xml:space="preserve"> Методики и с учетом того, что товар обращается на территориях Республики Беларусь, Республики Казахстан, Кыргызской Республики и Российской Федерации, установлено, что географические границы трансграничного товарного рынка охватывают территории указанных государств-членов, то есть территории более чем 2 государств-членов.</w:t>
      </w:r>
    </w:p>
    <w:bookmarkEnd w:id="112"/>
    <w:bookmarkStart w:name="z117" w:id="1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Методики и на основании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w:t>
      </w:r>
      <w:r>
        <w:rPr>
          <w:rFonts w:ascii="Times New Roman"/>
          <w:b w:val="false"/>
          <w:i w:val="false"/>
          <w:color w:val="000000"/>
          <w:sz w:val="28"/>
        </w:rPr>
        <w:t>пункта 7</w:t>
      </w:r>
      <w:r>
        <w:rPr>
          <w:rFonts w:ascii="Times New Roman"/>
          <w:b w:val="false"/>
          <w:i w:val="false"/>
          <w:color w:val="000000"/>
          <w:sz w:val="28"/>
        </w:rPr>
        <w:t xml:space="preserve"> статьи 76 Договора, </w:t>
      </w:r>
      <w:r>
        <w:rPr>
          <w:rFonts w:ascii="Times New Roman"/>
          <w:b w:val="false"/>
          <w:i w:val="false"/>
          <w:color w:val="000000"/>
          <w:sz w:val="28"/>
        </w:rPr>
        <w:t>пункта 9</w:t>
      </w:r>
      <w:r>
        <w:rPr>
          <w:rFonts w:ascii="Times New Roman"/>
          <w:b w:val="false"/>
          <w:i w:val="false"/>
          <w:color w:val="000000"/>
          <w:sz w:val="28"/>
        </w:rPr>
        <w:t xml:space="preserve"> Протокола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Критериев отнесения рынка к трансграничному, ввиду наличия поставок товара с территории третьей страны на территории 2 или более государств-членов, установлено, что географические границы товарного рынка соответствуют указанным Критериям в части признания такого рынка трансграничным.</w:t>
      </w:r>
    </w:p>
    <w:bookmarkEnd w:id="113"/>
    <w:bookmarkStart w:name="z118" w:id="114"/>
    <w:p>
      <w:pPr>
        <w:spacing w:after="0"/>
        <w:ind w:left="0"/>
        <w:jc w:val="both"/>
      </w:pPr>
      <w:r>
        <w:rPr>
          <w:rFonts w:ascii="Times New Roman"/>
          <w:b w:val="false"/>
          <w:i w:val="false"/>
          <w:color w:val="000000"/>
          <w:sz w:val="28"/>
        </w:rPr>
        <w:t xml:space="preserve">
      С учетом требований </w:t>
      </w:r>
      <w:r>
        <w:rPr>
          <w:rFonts w:ascii="Times New Roman"/>
          <w:b w:val="false"/>
          <w:i w:val="false"/>
          <w:color w:val="000000"/>
          <w:sz w:val="28"/>
        </w:rPr>
        <w:t>разделов 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xml:space="preserve"> Методики установлены хозяйствующие субъекты (субъекты рынка), действующие на товарном рынке (ответчики), проведен расчет объема товарного рынка и долей таких хозяйствующих субъектов (субъектов рынка). Данные сведения в настоящем Решении не приводятся в связи с тем, что они относятся к конфиденциальной информации. </w:t>
      </w:r>
    </w:p>
    <w:bookmarkEnd w:id="114"/>
    <w:bookmarkStart w:name="z119" w:id="115"/>
    <w:p>
      <w:pPr>
        <w:spacing w:after="0"/>
        <w:ind w:left="0"/>
        <w:jc w:val="both"/>
      </w:pPr>
      <w:r>
        <w:rPr>
          <w:rFonts w:ascii="Times New Roman"/>
          <w:b w:val="false"/>
          <w:i w:val="false"/>
          <w:color w:val="000000"/>
          <w:sz w:val="28"/>
        </w:rPr>
        <w:t xml:space="preserve">
      Анализ положений договоров (соглашений) показал, что на хозяйствующих субъектов (субъектов рынка), зарегистрированных на территориях Республики Беларусь, Республики Казахстан и Кыргызской Республики, возлагается обязанность не осуществлять последующую реализацию товара за пределами территории государства-члена, в котором зарегистрирован хозяйствующий субъект (субъект рынка), в том числе воздержаться от маркетинга (включая продвижение товара) и от учреждения филиалов или размещения складов за пределами территории такого государства. При несоблюдении хозяйствующим субъектом (субъектом рынка) данного требования субъект рынка "Alcon" в том числе оставляет за собой право прекратить поставку товара и прервать договорные отношения. </w:t>
      </w:r>
    </w:p>
    <w:bookmarkEnd w:id="115"/>
    <w:bookmarkStart w:name="z120" w:id="1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Протокола к признакам ограничения конкуренции относятся в том числе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116"/>
    <w:bookmarkStart w:name="z121" w:id="117"/>
    <w:p>
      <w:pPr>
        <w:spacing w:after="0"/>
        <w:ind w:left="0"/>
        <w:jc w:val="both"/>
      </w:pPr>
      <w:r>
        <w:rPr>
          <w:rFonts w:ascii="Times New Roman"/>
          <w:b w:val="false"/>
          <w:i w:val="false"/>
          <w:color w:val="000000"/>
          <w:sz w:val="28"/>
        </w:rPr>
        <w:t xml:space="preserve">
      Учитывая изложенное, указание субъектом рынка "Alcon" в договорах (соглашениях) с контрагентами территории, на которой может осуществляться реализация товара, приводит или может привести к ограничению конкуренции в рамках трансграничных рынков и невозможности конкуренции дистрибьютора одного государства-члена с дистрибьютором другого государства-члена на территории одного из государств-членов. </w:t>
      </w:r>
    </w:p>
    <w:bookmarkEnd w:id="117"/>
    <w:bookmarkStart w:name="z122" w:id="118"/>
    <w:p>
      <w:pPr>
        <w:spacing w:after="0"/>
        <w:ind w:left="0"/>
        <w:jc w:val="both"/>
      </w:pPr>
      <w:r>
        <w:rPr>
          <w:rFonts w:ascii="Times New Roman"/>
          <w:b w:val="false"/>
          <w:i w:val="false"/>
          <w:color w:val="000000"/>
          <w:sz w:val="28"/>
        </w:rPr>
        <w:t xml:space="preserve">
      Таким образом, положения договоров (соглашений) о территории, на которой осуществляется реализация товара, и иных территориальных ограничениях, и действия (бездействие) субъекта рынка "Alcon" по их закреплению в договорах (соглашениях) содержат в себе возможные признаки нарушения </w:t>
      </w:r>
      <w:r>
        <w:rPr>
          <w:rFonts w:ascii="Times New Roman"/>
          <w:b w:val="false"/>
          <w:i w:val="false"/>
          <w:color w:val="000000"/>
          <w:sz w:val="28"/>
        </w:rPr>
        <w:t>пункта 6</w:t>
      </w:r>
      <w:r>
        <w:rPr>
          <w:rFonts w:ascii="Times New Roman"/>
          <w:b w:val="false"/>
          <w:i w:val="false"/>
          <w:color w:val="000000"/>
          <w:sz w:val="28"/>
        </w:rPr>
        <w:t xml:space="preserve"> статьи 76 Договора в части нарушения запрета коммерческой организации осуществлять координацию экономической деятельности хозяйствующих субъектов (субъектов рынка) (далее – координация) в случае, если координация приводит или может привести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118"/>
    <w:bookmarkStart w:name="z123" w:id="119"/>
    <w:p>
      <w:pPr>
        <w:spacing w:after="0"/>
        <w:ind w:left="0"/>
        <w:jc w:val="both"/>
      </w:pPr>
      <w:r>
        <w:rPr>
          <w:rFonts w:ascii="Times New Roman"/>
          <w:b w:val="false"/>
          <w:i w:val="false"/>
          <w:color w:val="000000"/>
          <w:sz w:val="28"/>
        </w:rPr>
        <w:t>
      По результатам рассмотрения материалов расследования, а также информации, представленной в рамках рассмотрения дела, в том числе по результатам исследования доказательств и заслушивания лиц, участвующих в рассмотрении дела, заслушивания доводов и пояснений лиц, участвующих в рассмотрении дела, относительно доказательств, представленных другими лицами, участвующими в деле, заслушивания лиц, располагающих сведениями об обстоятельствах рассматриваемого дела, в рамках прошедших заседаний комиссии по рассмотрению дела установлено следующее.</w:t>
      </w:r>
    </w:p>
    <w:bookmarkEnd w:id="119"/>
    <w:bookmarkStart w:name="z124" w:id="12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2 и более государств-членов.</w:t>
      </w:r>
    </w:p>
    <w:bookmarkEnd w:id="120"/>
    <w:bookmarkStart w:name="z125" w:id="1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Протокола под конкуренцией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физическим лицам, коммерческим организациям и некоммерческим организациям государств-членов запрещается осуществлять координацию в случае, если она приводит или может привести к любому из указанных в пунктах 3 и 4 данной статьи последствий, которые не могут быть признаны допустимыми в соответствии с критериями допустимости, установленными Протоколом.</w:t>
      </w:r>
    </w:p>
    <w:bookmarkStart w:name="z127" w:id="1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Договора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w:t>
      </w:r>
    </w:p>
    <w:bookmarkEnd w:id="122"/>
    <w:bookmarkStart w:name="z128" w:id="123"/>
    <w:p>
      <w:pPr>
        <w:spacing w:after="0"/>
        <w:ind w:left="0"/>
        <w:jc w:val="both"/>
      </w:pPr>
      <w:r>
        <w:rPr>
          <w:rFonts w:ascii="Times New Roman"/>
          <w:b w:val="false"/>
          <w:i w:val="false"/>
          <w:color w:val="000000"/>
          <w:sz w:val="28"/>
        </w:rPr>
        <w:t>
      установлению или поддержанию цен (тарифов), скидок, надбавок (доплат), наценок;</w:t>
      </w:r>
    </w:p>
    <w:bookmarkEnd w:id="123"/>
    <w:bookmarkStart w:name="z129" w:id="124"/>
    <w:p>
      <w:pPr>
        <w:spacing w:after="0"/>
        <w:ind w:left="0"/>
        <w:jc w:val="both"/>
      </w:pPr>
      <w:r>
        <w:rPr>
          <w:rFonts w:ascii="Times New Roman"/>
          <w:b w:val="false"/>
          <w:i w:val="false"/>
          <w:color w:val="000000"/>
          <w:sz w:val="28"/>
        </w:rPr>
        <w:t>
      повышению, снижению или поддержанию цен на торгах;</w:t>
      </w:r>
    </w:p>
    <w:bookmarkEnd w:id="124"/>
    <w:bookmarkStart w:name="z130" w:id="125"/>
    <w:p>
      <w:pPr>
        <w:spacing w:after="0"/>
        <w:ind w:left="0"/>
        <w:jc w:val="both"/>
      </w:pP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125"/>
    <w:bookmarkStart w:name="z131" w:id="126"/>
    <w:p>
      <w:pPr>
        <w:spacing w:after="0"/>
        <w:ind w:left="0"/>
        <w:jc w:val="both"/>
      </w:pPr>
      <w:r>
        <w:rPr>
          <w:rFonts w:ascii="Times New Roman"/>
          <w:b w:val="false"/>
          <w:i w:val="false"/>
          <w:color w:val="000000"/>
          <w:sz w:val="28"/>
        </w:rPr>
        <w:t>
      сокращению или прекращению производства товаров;</w:t>
      </w:r>
    </w:p>
    <w:bookmarkEnd w:id="126"/>
    <w:bookmarkStart w:name="z132" w:id="127"/>
    <w:p>
      <w:pPr>
        <w:spacing w:after="0"/>
        <w:ind w:left="0"/>
        <w:jc w:val="both"/>
      </w:pPr>
      <w:r>
        <w:rPr>
          <w:rFonts w:ascii="Times New Roman"/>
          <w:b w:val="false"/>
          <w:i w:val="false"/>
          <w:color w:val="000000"/>
          <w:sz w:val="28"/>
        </w:rPr>
        <w:t>
      отказу от заключения договоров с определенными продавцами либо покупателями (заказчиками).</w:t>
      </w:r>
    </w:p>
    <w:bookmarkEnd w:id="127"/>
    <w:bookmarkStart w:name="z133" w:id="1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76 Договора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w:t>
      </w:r>
    </w:p>
    <w:bookmarkEnd w:id="128"/>
    <w:bookmarkStart w:name="z134" w:id="129"/>
    <w:p>
      <w:pPr>
        <w:spacing w:after="0"/>
        <w:ind w:left="0"/>
        <w:jc w:val="both"/>
      </w:pP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bookmarkEnd w:id="129"/>
    <w:bookmarkStart w:name="z135" w:id="130"/>
    <w:p>
      <w:pPr>
        <w:spacing w:after="0"/>
        <w:ind w:left="0"/>
        <w:jc w:val="both"/>
      </w:pPr>
      <w:r>
        <w:rPr>
          <w:rFonts w:ascii="Times New Roman"/>
          <w:b w:val="false"/>
          <w:i w:val="false"/>
          <w:color w:val="000000"/>
          <w:sz w:val="28"/>
        </w:rPr>
        <w:t>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w:t>
      </w:r>
    </w:p>
    <w:bookmarkStart w:name="z137" w:id="1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Протокола под координацией понимается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осуществляется согласование действий хозяйствующих субъектов (субъектов рынка).</w:t>
      </w:r>
    </w:p>
    <w:bookmarkEnd w:id="131"/>
    <w:bookmarkStart w:name="z138" w:id="132"/>
    <w:p>
      <w:pPr>
        <w:spacing w:after="0"/>
        <w:ind w:left="0"/>
        <w:jc w:val="both"/>
      </w:pPr>
      <w:r>
        <w:rPr>
          <w:rFonts w:ascii="Times New Roman"/>
          <w:b w:val="false"/>
          <w:i w:val="false"/>
          <w:color w:val="000000"/>
          <w:sz w:val="28"/>
        </w:rPr>
        <w:t xml:space="preserve">
      Взаимосвязанное прочтение указанных норм свидетельствует о том, что правом Союза запрещена координация, которая приводит или может привести к наступлению негативных для конкуренции последствий, аналогичных последствиям соглашений, запрещенных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76 Договора (соглашений между конкурентами и "вертикальных" соглашений).</w:t>
      </w:r>
    </w:p>
    <w:bookmarkEnd w:id="132"/>
    <w:bookmarkStart w:name="z139" w:id="133"/>
    <w:p>
      <w:pPr>
        <w:spacing w:after="0"/>
        <w:ind w:left="0"/>
        <w:jc w:val="both"/>
      </w:pPr>
      <w:r>
        <w:rPr>
          <w:rFonts w:ascii="Times New Roman"/>
          <w:b w:val="false"/>
          <w:i w:val="false"/>
          <w:color w:val="000000"/>
          <w:sz w:val="28"/>
        </w:rPr>
        <w:t>
      Таким образом, координация, запрещенная правом Союза, характеризуется следующими признаками:</w:t>
      </w:r>
    </w:p>
    <w:bookmarkEnd w:id="133"/>
    <w:bookmarkStart w:name="z140" w:id="134"/>
    <w:p>
      <w:pPr>
        <w:spacing w:after="0"/>
        <w:ind w:left="0"/>
        <w:jc w:val="both"/>
      </w:pPr>
      <w:r>
        <w:rPr>
          <w:rFonts w:ascii="Times New Roman"/>
          <w:b w:val="false"/>
          <w:i w:val="false"/>
          <w:color w:val="000000"/>
          <w:sz w:val="28"/>
        </w:rPr>
        <w:t>
      координация осуществляется третьим лицом, в качестве которого может выступать физическое лицо, коммерческая или некоммерческая организация (далее – координатор);</w:t>
      </w:r>
    </w:p>
    <w:bookmarkEnd w:id="134"/>
    <w:bookmarkStart w:name="z141" w:id="135"/>
    <w:p>
      <w:pPr>
        <w:spacing w:after="0"/>
        <w:ind w:left="0"/>
        <w:jc w:val="both"/>
      </w:pPr>
      <w:r>
        <w:rPr>
          <w:rFonts w:ascii="Times New Roman"/>
          <w:b w:val="false"/>
          <w:i w:val="false"/>
          <w:color w:val="000000"/>
          <w:sz w:val="28"/>
        </w:rPr>
        <w:t>
      координатор не входит в одну группу лиц ни с одним из хозяйствующих субъектов (субъектов рынка), действия которых согласовываются, и не осуществляет деятельность на том товарном рынке (товарных рынках), на котором осуществляется координация;</w:t>
      </w:r>
    </w:p>
    <w:bookmarkEnd w:id="135"/>
    <w:bookmarkStart w:name="z142" w:id="136"/>
    <w:p>
      <w:pPr>
        <w:spacing w:after="0"/>
        <w:ind w:left="0"/>
        <w:jc w:val="both"/>
      </w:pPr>
      <w:r>
        <w:rPr>
          <w:rFonts w:ascii="Times New Roman"/>
          <w:b w:val="false"/>
          <w:i w:val="false"/>
          <w:color w:val="000000"/>
          <w:sz w:val="28"/>
        </w:rPr>
        <w:t>
      действия координатора направлены на координацию как минимум 2 хозяйствующих субъектов (субъектов рынка) государств-членов;</w:t>
      </w:r>
    </w:p>
    <w:bookmarkEnd w:id="136"/>
    <w:bookmarkStart w:name="z143" w:id="137"/>
    <w:p>
      <w:pPr>
        <w:spacing w:after="0"/>
        <w:ind w:left="0"/>
        <w:jc w:val="both"/>
      </w:pPr>
      <w:r>
        <w:rPr>
          <w:rFonts w:ascii="Times New Roman"/>
          <w:b w:val="false"/>
          <w:i w:val="false"/>
          <w:color w:val="000000"/>
          <w:sz w:val="28"/>
        </w:rPr>
        <w:t>
      координация выражается в целенаправленном воздействии координатора на хозяйствующих субъектов (субъектов рынка) с целью формирования у них определенной модели поведения и оказания влияния на конкуренцию на товарном рынке.</w:t>
      </w:r>
    </w:p>
    <w:bookmarkEnd w:id="137"/>
    <w:bookmarkStart w:name="z144" w:id="138"/>
    <w:p>
      <w:pPr>
        <w:spacing w:after="0"/>
        <w:ind w:left="0"/>
        <w:jc w:val="both"/>
      </w:pPr>
      <w:r>
        <w:rPr>
          <w:rFonts w:ascii="Times New Roman"/>
          <w:b w:val="false"/>
          <w:i w:val="false"/>
          <w:color w:val="000000"/>
          <w:sz w:val="28"/>
        </w:rPr>
        <w:t>
      Аналогичная позиция и выводы содержатся в консультативных заключениях Суда Союза от 4 апреля 2017 г. и от 17 декабря 2018 г.</w:t>
      </w:r>
    </w:p>
    <w:bookmarkEnd w:id="138"/>
    <w:bookmarkStart w:name="z145" w:id="139"/>
    <w:p>
      <w:pPr>
        <w:spacing w:after="0"/>
        <w:ind w:left="0"/>
        <w:jc w:val="both"/>
      </w:pPr>
      <w:r>
        <w:rPr>
          <w:rFonts w:ascii="Times New Roman"/>
          <w:b w:val="false"/>
          <w:i w:val="false"/>
          <w:color w:val="000000"/>
          <w:sz w:val="28"/>
        </w:rPr>
        <w:t xml:space="preserve">
      Из материалов дела следует, что субъект рынка "Alcon": </w:t>
      </w:r>
    </w:p>
    <w:bookmarkEnd w:id="139"/>
    <w:bookmarkStart w:name="z146" w:id="140"/>
    <w:p>
      <w:pPr>
        <w:spacing w:after="0"/>
        <w:ind w:left="0"/>
        <w:jc w:val="both"/>
      </w:pPr>
      <w:r>
        <w:rPr>
          <w:rFonts w:ascii="Times New Roman"/>
          <w:b w:val="false"/>
          <w:i w:val="false"/>
          <w:color w:val="000000"/>
          <w:sz w:val="28"/>
        </w:rPr>
        <w:t>
      в рамках преддоговорной и договорной работы возложил на контрагентов обязательства, касающиеся деятельности на товарном рынке на территории государства-члена, в котором зарегистрирован хозяйствующий субъект (субъект рынка);</w:t>
      </w:r>
    </w:p>
    <w:bookmarkEnd w:id="140"/>
    <w:bookmarkStart w:name="z147" w:id="141"/>
    <w:p>
      <w:pPr>
        <w:spacing w:after="0"/>
        <w:ind w:left="0"/>
        <w:jc w:val="both"/>
      </w:pPr>
      <w:r>
        <w:rPr>
          <w:rFonts w:ascii="Times New Roman"/>
          <w:b w:val="false"/>
          <w:i w:val="false"/>
          <w:color w:val="000000"/>
          <w:sz w:val="28"/>
        </w:rPr>
        <w:t>
      предусмотрел наличие штрафных и иных санкций за несоблюдение условий о территории деятельности контрагента, вплоть до расторжения договора (соглашения) с не исполняющим такие условия хозяйствующим субъектом (субъектом рынка);</w:t>
      </w:r>
    </w:p>
    <w:bookmarkEnd w:id="141"/>
    <w:bookmarkStart w:name="z148" w:id="142"/>
    <w:p>
      <w:pPr>
        <w:spacing w:after="0"/>
        <w:ind w:left="0"/>
        <w:jc w:val="both"/>
      </w:pPr>
      <w:r>
        <w:rPr>
          <w:rFonts w:ascii="Times New Roman"/>
          <w:b w:val="false"/>
          <w:i w:val="false"/>
          <w:color w:val="000000"/>
          <w:sz w:val="28"/>
        </w:rPr>
        <w:t>
      являясь изготовителем соответствующего оборудования, в том числе программного обеспечения к нему, а также располагая доступом к информации о сервисном, гарантийном и постгарантийном обслуживании оборудования, имел и имеет возможность отслеживать расположение оборудования и его принадлежность;</w:t>
      </w:r>
    </w:p>
    <w:bookmarkEnd w:id="142"/>
    <w:bookmarkStart w:name="z149" w:id="143"/>
    <w:p>
      <w:pPr>
        <w:spacing w:after="0"/>
        <w:ind w:left="0"/>
        <w:jc w:val="both"/>
      </w:pPr>
      <w:r>
        <w:rPr>
          <w:rFonts w:ascii="Times New Roman"/>
          <w:b w:val="false"/>
          <w:i w:val="false"/>
          <w:color w:val="000000"/>
          <w:sz w:val="28"/>
        </w:rPr>
        <w:t>
      определял территорию, на которой контрагент осуществляет реализацию товара, посредством ее указания в договоре (соглашении) до его подписания.</w:t>
      </w:r>
    </w:p>
    <w:bookmarkEnd w:id="143"/>
    <w:bookmarkStart w:name="z150" w:id="144"/>
    <w:p>
      <w:pPr>
        <w:spacing w:after="0"/>
        <w:ind w:left="0"/>
        <w:jc w:val="both"/>
      </w:pPr>
      <w:r>
        <w:rPr>
          <w:rFonts w:ascii="Times New Roman"/>
          <w:b w:val="false"/>
          <w:i w:val="false"/>
          <w:color w:val="000000"/>
          <w:sz w:val="28"/>
        </w:rPr>
        <w:t xml:space="preserve">
      При этом другие ответчики (за исключением субъекта рынка "Alcon") получали проекты договоров и (или) соглашений с указанием территории, на которой будет осуществляться реализация товара, и в последующем в одностороннем порядке не могли изменить такие положения. </w:t>
      </w:r>
    </w:p>
    <w:bookmarkEnd w:id="144"/>
    <w:bookmarkStart w:name="z151" w:id="145"/>
    <w:p>
      <w:pPr>
        <w:spacing w:after="0"/>
        <w:ind w:left="0"/>
        <w:jc w:val="both"/>
      </w:pPr>
      <w:r>
        <w:rPr>
          <w:rFonts w:ascii="Times New Roman"/>
          <w:b w:val="false"/>
          <w:i w:val="false"/>
          <w:color w:val="000000"/>
          <w:sz w:val="28"/>
        </w:rPr>
        <w:t>
      Также из материалов дела следует, что субъект рынка "Alcon":</w:t>
      </w:r>
    </w:p>
    <w:bookmarkEnd w:id="145"/>
    <w:bookmarkStart w:name="z152" w:id="146"/>
    <w:p>
      <w:pPr>
        <w:spacing w:after="0"/>
        <w:ind w:left="0"/>
        <w:jc w:val="both"/>
      </w:pPr>
      <w:r>
        <w:rPr>
          <w:rFonts w:ascii="Times New Roman"/>
          <w:b w:val="false"/>
          <w:i w:val="false"/>
          <w:color w:val="000000"/>
          <w:sz w:val="28"/>
        </w:rPr>
        <w:t>
      является коммерческой организацией, производящей и вводящей в гражданский оборот товар, на который он располагает правами интеллектуальной собственности и который реализует под своим фирменным наименованием (товарным знаком), что препятствует иным участникам рынка производить такой товар и вводить его в гражданский оборот, при этом по отношению к своим дистрибьюторам он является третьим лицом, коммерческой организацией;</w:t>
      </w:r>
    </w:p>
    <w:bookmarkEnd w:id="146"/>
    <w:bookmarkStart w:name="z153" w:id="147"/>
    <w:p>
      <w:pPr>
        <w:spacing w:after="0"/>
        <w:ind w:left="0"/>
        <w:jc w:val="both"/>
      </w:pPr>
      <w:r>
        <w:rPr>
          <w:rFonts w:ascii="Times New Roman"/>
          <w:b w:val="false"/>
          <w:i w:val="false"/>
          <w:color w:val="000000"/>
          <w:sz w:val="28"/>
        </w:rPr>
        <w:t>
      не входит в одну группу лиц ни с одним из хозяйствующих субъектов (субъектов рынка), в отношении которых осуществляется координация, и не осуществляет последующую реализацию товара на том товарном рынке (товарных рынках), на котором осуществляется координация, запрещенная правом Союза;</w:t>
      </w:r>
    </w:p>
    <w:bookmarkEnd w:id="147"/>
    <w:bookmarkStart w:name="z154" w:id="148"/>
    <w:p>
      <w:pPr>
        <w:spacing w:after="0"/>
        <w:ind w:left="0"/>
        <w:jc w:val="both"/>
      </w:pPr>
      <w:r>
        <w:rPr>
          <w:rFonts w:ascii="Times New Roman"/>
          <w:b w:val="false"/>
          <w:i w:val="false"/>
          <w:color w:val="000000"/>
          <w:sz w:val="28"/>
        </w:rPr>
        <w:t>
      осуществлял действия, направленные на координацию более 2 хозяйствующих субъектов (субъектов рынка) государств-членов, что подтверждается в том числе установлением на этапе проведения преддоговорной работы территориальных ограничений деятельности контрагентов без их согласия;</w:t>
      </w:r>
    </w:p>
    <w:bookmarkEnd w:id="148"/>
    <w:bookmarkStart w:name="z155" w:id="149"/>
    <w:p>
      <w:pPr>
        <w:spacing w:after="0"/>
        <w:ind w:left="0"/>
        <w:jc w:val="both"/>
      </w:pPr>
      <w:r>
        <w:rPr>
          <w:rFonts w:ascii="Times New Roman"/>
          <w:b w:val="false"/>
          <w:i w:val="false"/>
          <w:color w:val="000000"/>
          <w:sz w:val="28"/>
        </w:rPr>
        <w:t>
      целенаправленно воздействовал на контрагентов с целью формирования у них определенной модели поведения и оказывал влияние на конкуренцию на товарном рынке, что выражалось в исключении конкуренции между хозяйствующими субъектами (субъектами рынка) на товарных рынках государств-членов.</w:t>
      </w:r>
    </w:p>
    <w:bookmarkEnd w:id="149"/>
    <w:bookmarkStart w:name="z156" w:id="150"/>
    <w:p>
      <w:pPr>
        <w:spacing w:after="0"/>
        <w:ind w:left="0"/>
        <w:jc w:val="both"/>
      </w:pPr>
      <w:r>
        <w:rPr>
          <w:rFonts w:ascii="Times New Roman"/>
          <w:b w:val="false"/>
          <w:i w:val="false"/>
          <w:color w:val="000000"/>
          <w:sz w:val="28"/>
        </w:rPr>
        <w:t>
      В период рассмотрения дела представлена информация о скоординированном со стороны субъекта рынка "Alcon" внесении изменений в договоры (соглашения) в части исключения положения, касающегося определения территории, на которой контрагентами осуществляется реализация товара. Дополнительно сообщается, что субъектом рынка "Alcon" введены единые принципы коммерческой политики и ценообразования для дистрибьюторов, действующие с июля 2020 г. на территориях государств-членов.</w:t>
      </w:r>
    </w:p>
    <w:bookmarkEnd w:id="150"/>
    <w:bookmarkStart w:name="z157" w:id="151"/>
    <w:p>
      <w:pPr>
        <w:spacing w:after="0"/>
        <w:ind w:left="0"/>
        <w:jc w:val="both"/>
      </w:pPr>
      <w:r>
        <w:rPr>
          <w:rFonts w:ascii="Times New Roman"/>
          <w:b w:val="false"/>
          <w:i w:val="false"/>
          <w:color w:val="000000"/>
          <w:sz w:val="28"/>
        </w:rPr>
        <w:t xml:space="preserve">
      В соответствии с законодательством государств-членов производителем (его представителями) получены соответствующие регистрационные удостоверения в каждом государстве-члене (за исключением Республики Армения). В рамках рассмотрения дела представителями субъекта рынка "Alcon" сообщено, что в отношении товара, производимого и реализуемого субъектом рынка "Alcon", отсутствуют единые требования к регистрационному досье и регистрационному удостоверению, предусмотренные законодательством государств-членов. </w:t>
      </w:r>
    </w:p>
    <w:bookmarkEnd w:id="151"/>
    <w:bookmarkStart w:name="z158" w:id="152"/>
    <w:p>
      <w:pPr>
        <w:spacing w:after="0"/>
        <w:ind w:left="0"/>
        <w:jc w:val="both"/>
      </w:pPr>
      <w:r>
        <w:rPr>
          <w:rFonts w:ascii="Times New Roman"/>
          <w:b w:val="false"/>
          <w:i w:val="false"/>
          <w:color w:val="000000"/>
          <w:sz w:val="28"/>
        </w:rPr>
        <w:t xml:space="preserve">
      Также, по информации представителей субъекта рынка "Alcon", выданные регистрационные удостоверения препятствуют обращению товара на трансграничных рынках Союза в связи с юридическими и техническими различиями. Регистрация товара и получение регистрационного удостоверения Союза является правом, а не обязанностью субъекта рынка "Alcon", в связи с чем оно не может представляться как право, которое обязательно к реализации. </w:t>
      </w:r>
    </w:p>
    <w:bookmarkEnd w:id="152"/>
    <w:bookmarkStart w:name="z159" w:id="153"/>
    <w:p>
      <w:pPr>
        <w:spacing w:after="0"/>
        <w:ind w:left="0"/>
        <w:jc w:val="both"/>
      </w:pPr>
      <w:r>
        <w:rPr>
          <w:rFonts w:ascii="Times New Roman"/>
          <w:b w:val="false"/>
          <w:i w:val="false"/>
          <w:color w:val="000000"/>
          <w:sz w:val="28"/>
        </w:rPr>
        <w:t>
      Указанные доводы субъекта рынка "Alcon" рассмотрены и не могут быть приняты по следующим основаниям:</w:t>
      </w:r>
    </w:p>
    <w:bookmarkEnd w:id="153"/>
    <w:bookmarkStart w:name="z160" w:id="154"/>
    <w:p>
      <w:pPr>
        <w:spacing w:after="0"/>
        <w:ind w:left="0"/>
        <w:jc w:val="both"/>
      </w:pPr>
      <w:r>
        <w:rPr>
          <w:rFonts w:ascii="Times New Roman"/>
          <w:b w:val="false"/>
          <w:i w:val="false"/>
          <w:color w:val="000000"/>
          <w:sz w:val="28"/>
        </w:rPr>
        <w:t>
      правом Союза не предусмотрено наличие обязательств по включению в договоры и (или) соглашения положений о территории, на которой осуществляется реализация товара, и запретов на осуществление иной деятельности за пределами такой территории;</w:t>
      </w:r>
    </w:p>
    <w:bookmarkEnd w:id="154"/>
    <w:bookmarkStart w:name="z161" w:id="155"/>
    <w:p>
      <w:pPr>
        <w:spacing w:after="0"/>
        <w:ind w:left="0"/>
        <w:jc w:val="both"/>
      </w:pPr>
      <w:r>
        <w:rPr>
          <w:rFonts w:ascii="Times New Roman"/>
          <w:b w:val="false"/>
          <w:i w:val="false"/>
          <w:color w:val="000000"/>
          <w:sz w:val="28"/>
        </w:rPr>
        <w:t>
      наличие или отсутствие регистрационного удостоверения, подтверждающего регистрацию, не является основанием для включения территориальных ограничений в договоры и (или) соглашения;</w:t>
      </w:r>
    </w:p>
    <w:bookmarkEnd w:id="155"/>
    <w:bookmarkStart w:name="z162" w:id="156"/>
    <w:p>
      <w:pPr>
        <w:spacing w:after="0"/>
        <w:ind w:left="0"/>
        <w:jc w:val="both"/>
      </w:pPr>
      <w:r>
        <w:rPr>
          <w:rFonts w:ascii="Times New Roman"/>
          <w:b w:val="false"/>
          <w:i w:val="false"/>
          <w:color w:val="000000"/>
          <w:sz w:val="28"/>
        </w:rPr>
        <w:t>
      наличие основополагающего принципа свободы договора предполагает свободу усмотрения сторон в определении положений такого договора, за исключением условий, запрещенных как правом Союза, так и законодательством государств-членов;</w:t>
      </w:r>
    </w:p>
    <w:bookmarkEnd w:id="156"/>
    <w:bookmarkStart w:name="z163" w:id="157"/>
    <w:p>
      <w:pPr>
        <w:spacing w:after="0"/>
        <w:ind w:left="0"/>
        <w:jc w:val="both"/>
      </w:pPr>
      <w:r>
        <w:rPr>
          <w:rFonts w:ascii="Times New Roman"/>
          <w:b w:val="false"/>
          <w:i w:val="false"/>
          <w:color w:val="000000"/>
          <w:sz w:val="28"/>
        </w:rPr>
        <w:t>
      наличие единого экономического пространства Союза предполагает отсутствие возможности территориальной сегментации на трансграничных рынках, за исключением случаев, предусмотренных правом Союза, которых в рассматриваемом деле установлено не было.</w:t>
      </w:r>
    </w:p>
    <w:bookmarkEnd w:id="157"/>
    <w:bookmarkStart w:name="z164" w:id="158"/>
    <w:p>
      <w:pPr>
        <w:spacing w:after="0"/>
        <w:ind w:left="0"/>
        <w:jc w:val="both"/>
      </w:pPr>
      <w:r>
        <w:rPr>
          <w:rFonts w:ascii="Times New Roman"/>
          <w:b w:val="false"/>
          <w:i w:val="false"/>
          <w:color w:val="000000"/>
          <w:sz w:val="28"/>
        </w:rPr>
        <w:t xml:space="preserve">
      Важно отметить, что субъект рынка "Alcon" имеет возможность оказывать воздействие на своих контрагентов как на этапе преддоговорной работы, так и в последующем. </w:t>
      </w:r>
    </w:p>
    <w:bookmarkEnd w:id="158"/>
    <w:bookmarkStart w:name="z165" w:id="159"/>
    <w:p>
      <w:pPr>
        <w:spacing w:after="0"/>
        <w:ind w:left="0"/>
        <w:jc w:val="both"/>
      </w:pPr>
      <w:r>
        <w:rPr>
          <w:rFonts w:ascii="Times New Roman"/>
          <w:b w:val="false"/>
          <w:i w:val="false"/>
          <w:color w:val="000000"/>
          <w:sz w:val="28"/>
        </w:rPr>
        <w:t>
      Учитывая, что контрагент имеет возможность приобрести товар только у производителя (субъекта рынка "Alcon"), контрагент вынужден соглашаться на предлагаемые ему условия, в связи с чем он теряет свою самостоятельность как равной стороны договорных отношений. Таким образом, действия субъекта рынка "Alcon" в своей совокупности являются действиями по осуществлению координации хозяйствующих субъектов (субъектов рынка), а не реализацией запрещенных договоренностей.</w:t>
      </w:r>
    </w:p>
    <w:bookmarkEnd w:id="159"/>
    <w:bookmarkStart w:name="z166" w:id="160"/>
    <w:p>
      <w:pPr>
        <w:spacing w:after="0"/>
        <w:ind w:left="0"/>
        <w:jc w:val="both"/>
      </w:pPr>
      <w:r>
        <w:rPr>
          <w:rFonts w:ascii="Times New Roman"/>
          <w:b w:val="false"/>
          <w:i w:val="false"/>
          <w:color w:val="000000"/>
          <w:sz w:val="28"/>
        </w:rPr>
        <w:t>
      Представителями субъекта рынка "Alcon", другими ответчиками, уполномоченными органами государств-членов, в компетенцию которых входят реализация и (или) проведение конкурентной (антимонопольной) политики, и иными лицами представлены письменные позиции и другая информация (документы, сведения), которые приобщены к материалам дела и учтены при рассмотрении дела. Ответчиками факт нарушения общих правил конкуренции не признан.</w:t>
      </w:r>
    </w:p>
    <w:bookmarkEnd w:id="160"/>
    <w:bookmarkStart w:name="z167" w:id="161"/>
    <w:p>
      <w:pPr>
        <w:spacing w:after="0"/>
        <w:ind w:left="0"/>
        <w:jc w:val="both"/>
      </w:pPr>
      <w:r>
        <w:rPr>
          <w:rFonts w:ascii="Times New Roman"/>
          <w:b w:val="false"/>
          <w:i w:val="false"/>
          <w:color w:val="000000"/>
          <w:sz w:val="28"/>
        </w:rPr>
        <w:t xml:space="preserve">
      Генеральным директором ООО "Алкон Фармацевтика" в период до 14 января 2020 г. являлась Гатинская Т.В., после указанного периода – Михно Е.В. </w:t>
      </w:r>
    </w:p>
    <w:bookmarkEnd w:id="161"/>
    <w:bookmarkStart w:name="z168" w:id="162"/>
    <w:p>
      <w:pPr>
        <w:spacing w:after="0"/>
        <w:ind w:left="0"/>
        <w:jc w:val="both"/>
      </w:pPr>
      <w:r>
        <w:rPr>
          <w:rFonts w:ascii="Times New Roman"/>
          <w:b w:val="false"/>
          <w:i w:val="false"/>
          <w:color w:val="000000"/>
          <w:sz w:val="28"/>
        </w:rPr>
        <w:t xml:space="preserve">
      В отношении Михно Е.В. не установлено продолжение осуществления координации, запрещенной правом Союза. </w:t>
      </w:r>
    </w:p>
    <w:bookmarkEnd w:id="162"/>
    <w:bookmarkStart w:name="z169" w:id="163"/>
    <w:p>
      <w:pPr>
        <w:spacing w:after="0"/>
        <w:ind w:left="0"/>
        <w:jc w:val="both"/>
      </w:pPr>
      <w:r>
        <w:rPr>
          <w:rFonts w:ascii="Times New Roman"/>
          <w:b w:val="false"/>
          <w:i w:val="false"/>
          <w:color w:val="000000"/>
          <w:sz w:val="28"/>
        </w:rPr>
        <w:t xml:space="preserve">
      Действия (бездействие) должностного лица – генерального директора ООО "Алкон Фармацевтика" Гатинской Т.В. выразились в том, что, являясь руководителем ООО "Алкон Фармацевтика" в соответствии с учредительными (уставными) документами ООО "Алкон Фармацевтика", в период нарушения она имела возможность для соблюдения положений права Союза в сфере антимонопольного регулирования и прекращения координации, однако не приняла необходимых и достаточных мер по их соблюдению, в связи с чем можно сделать вывод, что Гатинская Т.В. совершила действия (бездействие), запрещенные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w:t>
      </w:r>
    </w:p>
    <w:bookmarkEnd w:id="163"/>
    <w:bookmarkStart w:name="z170" w:id="164"/>
    <w:p>
      <w:pPr>
        <w:spacing w:after="0"/>
        <w:ind w:left="0"/>
        <w:jc w:val="both"/>
      </w:pPr>
      <w:r>
        <w:rPr>
          <w:rFonts w:ascii="Times New Roman"/>
          <w:b w:val="false"/>
          <w:i w:val="false"/>
          <w:color w:val="000000"/>
          <w:sz w:val="28"/>
        </w:rPr>
        <w:t xml:space="preserve">
      В рамках рассмотрения дела Гатинской Т.В. обеспечена возможность реализации всех прав,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дела. Кроме того, у нее запрошены пояснения по делу,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В свою очередь Гатинская Т.В. не представила пояснений и доводов по делу, в том числе позицию о согласии или несогласии с нарушением. </w:t>
      </w:r>
    </w:p>
    <w:bookmarkEnd w:id="164"/>
    <w:bookmarkStart w:name="z171" w:id="165"/>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Гатинской Т.В. нашла подтверждение, а ее действия верно квалифицированы по </w:t>
      </w:r>
      <w:r>
        <w:rPr>
          <w:rFonts w:ascii="Times New Roman"/>
          <w:b w:val="false"/>
          <w:i w:val="false"/>
          <w:color w:val="000000"/>
          <w:sz w:val="28"/>
        </w:rPr>
        <w:t>пункту 6</w:t>
      </w:r>
      <w:r>
        <w:rPr>
          <w:rFonts w:ascii="Times New Roman"/>
          <w:b w:val="false"/>
          <w:i w:val="false"/>
          <w:color w:val="000000"/>
          <w:sz w:val="28"/>
        </w:rPr>
        <w:t xml:space="preserve"> статьи 76 Договора. Также материалами дела подтверждаются ее действия, направленные на отмену территориальных ограничений для контрагентов. </w:t>
      </w:r>
    </w:p>
    <w:bookmarkEnd w:id="165"/>
    <w:bookmarkStart w:name="z172" w:id="16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10 Протокола, </w:t>
      </w:r>
      <w:r>
        <w:rPr>
          <w:rFonts w:ascii="Times New Roman"/>
          <w:b w:val="false"/>
          <w:i w:val="false"/>
          <w:color w:val="000000"/>
          <w:sz w:val="28"/>
        </w:rPr>
        <w:t>пунктом 44</w:t>
      </w:r>
      <w:r>
        <w:rPr>
          <w:rFonts w:ascii="Times New Roman"/>
          <w:b w:val="false"/>
          <w:i w:val="false"/>
          <w:color w:val="000000"/>
          <w:sz w:val="28"/>
        </w:rPr>
        <w:t xml:space="preserve"> Порядка рассмотрения дел и Методикой расчета и порядком наложения штрафов за нарушение общих правил конкуренции на трансграничных рынках,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17 декабря 2012 г. № 118 (далее – Методика расчета и порядок наложения штрафа), Коллегия Комиссии решила:</w:t>
      </w:r>
    </w:p>
    <w:bookmarkEnd w:id="166"/>
    <w:bookmarkStart w:name="z173" w:id="167"/>
    <w:p>
      <w:pPr>
        <w:spacing w:after="0"/>
        <w:ind w:left="0"/>
        <w:jc w:val="both"/>
      </w:pPr>
      <w:r>
        <w:rPr>
          <w:rFonts w:ascii="Times New Roman"/>
          <w:b w:val="false"/>
          <w:i w:val="false"/>
          <w:color w:val="000000"/>
          <w:sz w:val="28"/>
        </w:rPr>
        <w:t xml:space="preserve">
      1. Признать отсутствие в действиях (бездействии) группы лиц в составе ООО "Оптикс-Юг" и ООО "Оптикс-Альянс", группы лиц в составе ООО "Регал" и ООО "ИОЛ", группы лиц в составе ООО "Офтамедика" и ООО "ГЕНИКО", группы лиц в составе ООО "ОМГ", ООО "Витал Эстетик Рус" и ООО "Объединенная Медицинская Группа", ООО "Линкс", АО "ИнтелМед", ООО "Ортус-Медицинские Системы", ООО "АМ-Медикал", ООО "Куфран-РМ", ООО "ПрофиМед", ТОО "Астана Медикал Продукт", ТОО "MD Tech", ТОО "ZALMA Ltd", ООО "ЮниХелп", СООО "АСВ Трейд Сервис", "Дина Интернешнл", их должностных лиц генерального директора ООО "Оптикс-Юг" и ООО "Оптикс-Альянс" Дольникова В.А., генерального директора ООО "Линкс" Хабибуллина Г.Ф., генерального директора ООО "Регал" и ООО "ИОЛ" Сабо Й., генерального директора АО "ИнтелМед" Лебедева Г.В., директора ООО "Ортус-Медицинские Системы" Макарова Я.Ю., генерального директора ООО "Офтамедика" и ООО "ГЕНИКО" Зеленской Н.А., генерального директора ООО "ОМГ" Чемоданова Ю.В., генерального директора ООО "Витал Эстетик Рус" Ващинкиной Л.В., генерального директора ООО "Объединенная Медицинская Группа" Волкорезова Д.В., генерального директора ООО "АМ-Медикал" Нурищенко В.К., директора ООО "Куфран-РМ" Французова А.А., директора ООО "ПрофиМед" Волтова А.В., генерального директора ТОО "Астана Медикал Продукт" Суворова С.В., генерального директора ТОО "MD Tech" Лавриненко И.В., генерального директора ТОО "ZALMA Ltd" Шамрикова Г.Г., генерального директора ООО "ЮниХелп" Герасименко К.К., директора СООО "АСВ Трейд Сервис" Акулич О.А. и директора "Дина Интернешнл" Сингха В.К. нарушения пункта 5 статьи 76 Договора и прекратить в отношении указанных лиц рассмотрение дела. </w:t>
      </w:r>
    </w:p>
    <w:bookmarkEnd w:id="167"/>
    <w:bookmarkStart w:name="z174" w:id="168"/>
    <w:p>
      <w:pPr>
        <w:spacing w:after="0"/>
        <w:ind w:left="0"/>
        <w:jc w:val="both"/>
      </w:pPr>
      <w:r>
        <w:rPr>
          <w:rFonts w:ascii="Times New Roman"/>
          <w:b w:val="false"/>
          <w:i w:val="false"/>
          <w:color w:val="000000"/>
          <w:sz w:val="28"/>
        </w:rPr>
        <w:t xml:space="preserve">
      2. Признать действия (бездействие) ООО "Алкон Фармацевтика" и должностного лица ООО "Алкон Фармацевтика" Гатинской Т.В., в период с 1 января 2018 г. по 14 января 2020 г. занимавшей должность генерального директора ООО "Алкон Фармацевтика", выразившиеся в осуществлении запрещенной правом Союза координации экономической деятельности контрагентов на трансграничных товарных рынках оптовой реализации и обслуживания систем факоэмульсификации и факоэмульсификации (витрэктомии) производства субъекта рынка "Alcon" в части раздела товарного рынка по территориальному принципу, составу продавцов или покупателей (заказчиков), нарушением </w:t>
      </w:r>
      <w:r>
        <w:rPr>
          <w:rFonts w:ascii="Times New Roman"/>
          <w:b w:val="false"/>
          <w:i w:val="false"/>
          <w:color w:val="000000"/>
          <w:sz w:val="28"/>
        </w:rPr>
        <w:t>пункта 6</w:t>
      </w:r>
      <w:r>
        <w:rPr>
          <w:rFonts w:ascii="Times New Roman"/>
          <w:b w:val="false"/>
          <w:i w:val="false"/>
          <w:color w:val="000000"/>
          <w:sz w:val="28"/>
        </w:rPr>
        <w:t xml:space="preserve"> статьи 76 Договора.</w:t>
      </w:r>
    </w:p>
    <w:bookmarkEnd w:id="168"/>
    <w:bookmarkStart w:name="z175" w:id="169"/>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и подпунктом 3 </w:t>
      </w:r>
      <w:r>
        <w:rPr>
          <w:rFonts w:ascii="Times New Roman"/>
          <w:b w:val="false"/>
          <w:i w:val="false"/>
          <w:color w:val="000000"/>
          <w:sz w:val="28"/>
        </w:rPr>
        <w:t>пункта 16</w:t>
      </w:r>
      <w:r>
        <w:rPr>
          <w:rFonts w:ascii="Times New Roman"/>
          <w:b w:val="false"/>
          <w:i w:val="false"/>
          <w:color w:val="000000"/>
          <w:sz w:val="28"/>
        </w:rPr>
        <w:t xml:space="preserve"> Протокола:</w:t>
      </w:r>
    </w:p>
    <w:bookmarkEnd w:id="169"/>
    <w:bookmarkStart w:name="z176" w:id="170"/>
    <w:p>
      <w:pPr>
        <w:spacing w:after="0"/>
        <w:ind w:left="0"/>
        <w:jc w:val="both"/>
      </w:pPr>
      <w:r>
        <w:rPr>
          <w:rFonts w:ascii="Times New Roman"/>
          <w:b w:val="false"/>
          <w:i w:val="false"/>
          <w:color w:val="000000"/>
          <w:sz w:val="28"/>
        </w:rPr>
        <w:t>
      учитывая наличие обстоятельств, предусмотренных пунктами 1, 2, 4, 5 и 9 раздела "Обстоятельства, смягчающие ответственность" перечня 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 (</w:t>
      </w:r>
      <w:r>
        <w:rPr>
          <w:rFonts w:ascii="Times New Roman"/>
          <w:b w:val="false"/>
          <w:i w:val="false"/>
          <w:color w:val="000000"/>
          <w:sz w:val="28"/>
        </w:rPr>
        <w:t>приложение № 1</w:t>
      </w:r>
      <w:r>
        <w:rPr>
          <w:rFonts w:ascii="Times New Roman"/>
          <w:b w:val="false"/>
          <w:i w:val="false"/>
          <w:color w:val="000000"/>
          <w:sz w:val="28"/>
        </w:rPr>
        <w:t xml:space="preserve"> к Методике расчета и порядка наложения штрафов), и обстоятельств, предусмотренных пунктами 2 и 3 раздела "Обстоятельства, отягчающие ответственность" указанного перечня, назначить:</w:t>
      </w:r>
    </w:p>
    <w:bookmarkEnd w:id="170"/>
    <w:bookmarkStart w:name="z177" w:id="171"/>
    <w:p>
      <w:pPr>
        <w:spacing w:after="0"/>
        <w:ind w:left="0"/>
        <w:jc w:val="both"/>
      </w:pPr>
      <w:r>
        <w:rPr>
          <w:rFonts w:ascii="Times New Roman"/>
          <w:b w:val="false"/>
          <w:i w:val="false"/>
          <w:color w:val="000000"/>
          <w:sz w:val="28"/>
        </w:rPr>
        <w:t>
      ООО "Алкон Фармацевтика" штраф в размере 2 100 000 российских рублей;</w:t>
      </w:r>
    </w:p>
    <w:bookmarkEnd w:id="171"/>
    <w:bookmarkStart w:name="z178" w:id="172"/>
    <w:p>
      <w:pPr>
        <w:spacing w:after="0"/>
        <w:ind w:left="0"/>
        <w:jc w:val="both"/>
      </w:pPr>
      <w:r>
        <w:rPr>
          <w:rFonts w:ascii="Times New Roman"/>
          <w:b w:val="false"/>
          <w:i w:val="false"/>
          <w:color w:val="000000"/>
          <w:sz w:val="28"/>
        </w:rPr>
        <w:t>
      Гатинской Т.В. штраф в размере 71 458 российских рублей 33 копеек.</w:t>
      </w:r>
    </w:p>
    <w:bookmarkEnd w:id="172"/>
    <w:bookmarkStart w:name="z179" w:id="173"/>
    <w:p>
      <w:pPr>
        <w:spacing w:after="0"/>
        <w:ind w:left="0"/>
        <w:jc w:val="both"/>
      </w:pPr>
      <w:r>
        <w:rPr>
          <w:rFonts w:ascii="Times New Roman"/>
          <w:b w:val="false"/>
          <w:i w:val="false"/>
          <w:color w:val="000000"/>
          <w:sz w:val="28"/>
        </w:rPr>
        <w:t xml:space="preserve">
      Штрафы, назначенные настоящим Решением, подлежат уплате в порядке, установленном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Протокола.</w:t>
      </w:r>
    </w:p>
    <w:bookmarkEnd w:id="173"/>
    <w:bookmarkStart w:name="z180" w:id="174"/>
    <w:p>
      <w:pPr>
        <w:spacing w:after="0"/>
        <w:ind w:left="0"/>
        <w:jc w:val="both"/>
      </w:pPr>
      <w:r>
        <w:rPr>
          <w:rFonts w:ascii="Times New Roman"/>
          <w:b w:val="false"/>
          <w:i w:val="false"/>
          <w:color w:val="000000"/>
          <w:sz w:val="28"/>
        </w:rPr>
        <w:t xml:space="preserve">
      4. Обязать ООО "Алкон Фармацевтика" прекратить совершать действия (бездействие), нарушающие </w:t>
      </w:r>
      <w:r>
        <w:rPr>
          <w:rFonts w:ascii="Times New Roman"/>
          <w:b w:val="false"/>
          <w:i w:val="false"/>
          <w:color w:val="000000"/>
          <w:sz w:val="28"/>
        </w:rPr>
        <w:t>пункт 6</w:t>
      </w:r>
      <w:r>
        <w:rPr>
          <w:rFonts w:ascii="Times New Roman"/>
          <w:b w:val="false"/>
          <w:i w:val="false"/>
          <w:color w:val="000000"/>
          <w:sz w:val="28"/>
        </w:rPr>
        <w:t xml:space="preserve"> статьи 76 Договора, в том числе:</w:t>
      </w:r>
    </w:p>
    <w:bookmarkEnd w:id="174"/>
    <w:bookmarkStart w:name="z181" w:id="175"/>
    <w:p>
      <w:pPr>
        <w:spacing w:after="0"/>
        <w:ind w:left="0"/>
        <w:jc w:val="both"/>
      </w:pPr>
      <w:r>
        <w:rPr>
          <w:rFonts w:ascii="Times New Roman"/>
          <w:b w:val="false"/>
          <w:i w:val="false"/>
          <w:color w:val="000000"/>
          <w:sz w:val="28"/>
        </w:rPr>
        <w:t xml:space="preserve">
      исключить из договоров (соглашений) положения, обязывающие контрагентов соблюдать требования, предусматривающие раздел товарного рынка оптовой реализации и обслуживания систем факоэмульсификации и факоэмульсификации (витрэктомии) производства субъекта рынка "Alcon" по территориальному принципу, составу продавцов или покупателей (заказчиков), объему реализуемого товара; </w:t>
      </w:r>
    </w:p>
    <w:bookmarkEnd w:id="175"/>
    <w:bookmarkStart w:name="z182" w:id="176"/>
    <w:p>
      <w:pPr>
        <w:spacing w:after="0"/>
        <w:ind w:left="0"/>
        <w:jc w:val="both"/>
      </w:pPr>
      <w:r>
        <w:rPr>
          <w:rFonts w:ascii="Times New Roman"/>
          <w:b w:val="false"/>
          <w:i w:val="false"/>
          <w:color w:val="000000"/>
          <w:sz w:val="28"/>
        </w:rPr>
        <w:t>
      при осуществлении своей деятельности не отказывать в сотрудничестве и (или) иным образом не оказывать предпочтения юридическим и физическим лицам, зарегистрированным и (или) осуществляющим деятельность на территории любого из государств-членов;</w:t>
      </w:r>
    </w:p>
    <w:bookmarkEnd w:id="176"/>
    <w:bookmarkStart w:name="z183" w:id="177"/>
    <w:p>
      <w:pPr>
        <w:spacing w:after="0"/>
        <w:ind w:left="0"/>
        <w:jc w:val="both"/>
      </w:pPr>
      <w:r>
        <w:rPr>
          <w:rFonts w:ascii="Times New Roman"/>
          <w:b w:val="false"/>
          <w:i w:val="false"/>
          <w:color w:val="000000"/>
          <w:sz w:val="28"/>
        </w:rPr>
        <w:t>
      разместить на общедоступных ресурсах информацию о возможности обращения хозяйствующих субъектов (субъектов рынка) государств-членов к субъекту рынка "Alcon" по вопросам оптовой реализации и (или) обслуживания систем факоэмульсификации и факоэмульсификации (витрэктомии) производства субъекта рынка "Alcon" вне зависимости от места их регистрации.</w:t>
      </w:r>
    </w:p>
    <w:bookmarkEnd w:id="177"/>
    <w:bookmarkStart w:name="z184" w:id="178"/>
    <w:p>
      <w:pPr>
        <w:spacing w:after="0"/>
        <w:ind w:left="0"/>
        <w:jc w:val="both"/>
      </w:pPr>
      <w:r>
        <w:rPr>
          <w:rFonts w:ascii="Times New Roman"/>
          <w:b w:val="false"/>
          <w:i w:val="false"/>
          <w:color w:val="000000"/>
          <w:sz w:val="28"/>
        </w:rPr>
        <w:t>
      5. ООО "Алкон Фармацевтика" представить информацию об исполнении пункта 4 настоящего Решения в месячный срок с даты вступления настоящего Решения в силу.</w:t>
      </w:r>
    </w:p>
    <w:bookmarkEnd w:id="178"/>
    <w:bookmarkStart w:name="z185" w:id="179"/>
    <w:p>
      <w:pPr>
        <w:spacing w:after="0"/>
        <w:ind w:left="0"/>
        <w:jc w:val="both"/>
      </w:pPr>
      <w:r>
        <w:rPr>
          <w:rFonts w:ascii="Times New Roman"/>
          <w:b w:val="false"/>
          <w:i w:val="false"/>
          <w:color w:val="000000"/>
          <w:sz w:val="28"/>
        </w:rPr>
        <w:t>
      6. Настоящее Решение может быть обжаловано в установленном порядке в Суде Союза.</w:t>
      </w:r>
    </w:p>
    <w:bookmarkEnd w:id="179"/>
    <w:bookmarkStart w:name="z186" w:id="180"/>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