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d78f" w14:textId="976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подвижного состава метрополитена" (ТР ЕАЭС 052/2021)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февраля 2022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подвижного состава метрополитена" (ТР ЕАЭС 052/2021) (далее соответственно – продукция, технический регламент), до даты вступления в силу технического регламента, действительны до окончания срока их действия, но не позднее 24 месяцев с даты вступления в силу технического регламента.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течение 24 месяцев с даты вступления в силу технического регламента допускаются производство и выпуск в обращение на таможенной территории Союза продукции, не подлежавшей до даты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течение 24 месяцев с даты вступления в силу технического регламента допускаются производство и выпуск в обращение на таможенной территории Союза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даты вступления в силу технического регламента.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указанной в подпунктах "б" и "в" настоящего пункта, допускается в течение срока службы, установленного в соответствии с законодательством государства-члена.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совместно с государствами-членами обеспечить разработку и представление в Евразийскую экономическую комиссию до даты вступления в силу технического регламента: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проекта перечня продукции, подлежащей обязательной оценке соответствия требованиям технического регламента, в отношении которой при помещении под таможенные процедуры подтверждается соблюдение мер технического регулирования.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