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7cd94" w14:textId="1f7c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латекса для производства ковров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января 2022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ставку ввозной таможенной пошлины Единого таможенного тарифа Евразийского экономического союза,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в отношении латекса для производства ковров, классифицируемого кодом 4002 11 000 1 ТН ВЭД ЕАЭС, в размере 0 процентов от таможенной стоимости с 1 января 2022 г. по 31 декабря 2024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Внести в Единый таможенный тариф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сентября 2021 г. № 80,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позицию с кодом 4002 11 000 1 ТН ВЭД ЕАЭС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51С)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 дополнить примечанием 51С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51С)</w:t>
      </w:r>
      <w:r>
        <w:rPr>
          <w:rFonts w:ascii="Times New Roman"/>
          <w:b w:val="false"/>
          <w:i w:val="false"/>
          <w:color w:val="000000"/>
          <w:sz w:val="28"/>
        </w:rPr>
        <w:t> Ставка ввозной таможенной пошлины в размере 0 (ноль) % от таможенной стоимости применяется с 01.01.2022 по 31.12.2024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 и распространяется на правоотношения, возникшие с 1 января 2022 г.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 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