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9181" w14:textId="c5d9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средств индивидуальной защиты" (ТР ТС 019/2011)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января 2022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средств индивидуальной защиты" (ТР ТС 019/2011) и осуществления оценки соответствия объектов технического регулирования, утвержденный Решением Коллегии Евразийской экономической комиссии от 3 марта 2020 г. № 30, дополнить позициями 99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99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4.2, подпункт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6309-2020 "Массовая концентрация хлорбензола, выделяемого из изделий из поликарбоната, в водных и воздушных средах. Методика выполнения измерений методом газовой хроматографии" (свидетельство об аттестации № BY 00120 от 29.10.2020)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01.06.2022 до разработки соответствующего межгосударственного стандарта и включения его в настоящий перечень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KZ.А.01.0602 "Методика выполнения измерений уровня миграции, выраженного в единицах массовой концентрации, в водные и воздушные среды бутадиена, содержащегося в изделиях из полистирола и сополимеров стирола" (свидетельство об аттестации № 168 от 22.10.2020)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01.06.2022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