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6704" w14:textId="7e46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игрушек" (ТР ТС 008/2011)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Евразийской экономической коллегии от 11 января 2022 года № 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игрушек" (ТР ТС 008/2011) и осуществления оценки соответствия объектов технического регулирования, утвержденный Решением Комиссии Таможенного союза от 23 сентября 2011 г. № 798, дополнить позициями 184 и 185 следующего содержания: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6309-2020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хлорбензола, выделяемого из изделий из поликарбоната, в водных и воздушных средах. Методика выполнения измерений методом газовой хроматографии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аттестации № BY 00120 от 29.10.2020; применяется с 01.06.2022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KZ.А.01.0602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выполнения измерений уровня миграции, выраженного в единицах массовой концентрации, в водные и воздушные среды бутадиена, содержащегося в изделиях из полистирола и сополимеров стирола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об аттестации № 168 от 22.10.2020; применяется с 01.06.2022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