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e8b3" w14:textId="2c3e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ориентирах макроэкономической политики государств - членов Евразийского экономического союза на 2022 - 2023 годы</w:t>
      </w:r>
    </w:p>
    <w:p>
      <w:pPr>
        <w:spacing w:after="0"/>
        <w:ind w:left="0"/>
        <w:jc w:val="both"/>
      </w:pPr>
      <w:r>
        <w:rPr>
          <w:rFonts w:ascii="Times New Roman"/>
          <w:b w:val="false"/>
          <w:i w:val="false"/>
          <w:color w:val="000000"/>
          <w:sz w:val="28"/>
        </w:rPr>
        <w:t>Решение Высшего Евразийского экономического совета от 27 мая 2022 года № 7</w:t>
      </w:r>
    </w:p>
    <w:p>
      <w:pPr>
        <w:spacing w:after="0"/>
        <w:ind w:left="0"/>
        <w:jc w:val="left"/>
      </w:pPr>
    </w:p>
    <w:bookmarkStart w:name="z4" w:id="0"/>
    <w:p>
      <w:pPr>
        <w:spacing w:after="0"/>
        <w:ind w:left="0"/>
        <w:jc w:val="both"/>
      </w:pPr>
      <w:r>
        <w:rPr>
          <w:rFonts w:ascii="Times New Roman"/>
          <w:b w:val="false"/>
          <w:i w:val="false"/>
          <w:color w:val="000000"/>
          <w:sz w:val="28"/>
        </w:rPr>
        <w:t>
      Высший Евразийский экономический совет 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ориентиры</w:t>
      </w:r>
      <w:r>
        <w:rPr>
          <w:rFonts w:ascii="Times New Roman"/>
          <w:b w:val="false"/>
          <w:i w:val="false"/>
          <w:color w:val="000000"/>
          <w:sz w:val="28"/>
        </w:rPr>
        <w:t xml:space="preserve"> макроэкономической политики государств - членов Евразийского экономического союза на 2022 - 2023 годы.</w:t>
      </w:r>
    </w:p>
    <w:bookmarkStart w:name="z6" w:id="1"/>
    <w:p>
      <w:pPr>
        <w:spacing w:after="0"/>
        <w:ind w:left="0"/>
        <w:jc w:val="both"/>
      </w:pPr>
      <w:r>
        <w:rPr>
          <w:rFonts w:ascii="Times New Roman"/>
          <w:b w:val="false"/>
          <w:i w:val="false"/>
          <w:color w:val="000000"/>
          <w:sz w:val="28"/>
        </w:rPr>
        <w:t>
      2. Рекомендовать правительствам и национальным (центральным) банкам государств -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 членов Евразийского экономического союза на 2022 - 2023 годы.</w:t>
      </w:r>
    </w:p>
    <w:bookmarkEnd w:id="1"/>
    <w:bookmarkStart w:name="z7" w:id="2"/>
    <w:p>
      <w:pPr>
        <w:spacing w:after="0"/>
        <w:ind w:left="0"/>
        <w:jc w:val="both"/>
      </w:pPr>
      <w:r>
        <w:rPr>
          <w:rFonts w:ascii="Times New Roman"/>
          <w:b w:val="false"/>
          <w:i w:val="false"/>
          <w:color w:val="000000"/>
          <w:sz w:val="28"/>
        </w:rPr>
        <w:t>
      3. Евразийской экономической комиссии проводить анализ мер, реализуемых государствами - членами Евразийского экономического союза в области макроэкономической политики, и оценивать соответствие таких мер основным ориентирам макроэкономической политики государств - членов Евразийского экономического союза на 2022 - 2023 годы, утвержденным настоящим Решением.</w:t>
      </w:r>
    </w:p>
    <w:bookmarkEnd w:id="2"/>
    <w:bookmarkStart w:name="z8" w:id="3"/>
    <w:p>
      <w:pPr>
        <w:spacing w:after="0"/>
        <w:ind w:left="0"/>
        <w:jc w:val="both"/>
      </w:pPr>
      <w:r>
        <w:rPr>
          <w:rFonts w:ascii="Times New Roman"/>
          <w:b w:val="false"/>
          <w:i w:val="false"/>
          <w:color w:val="000000"/>
          <w:sz w:val="28"/>
        </w:rPr>
        <w:t>
      4. Настоящее Решение вступает в силу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Высшего Евразийского экономического совета: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Федерации</w:t>
                  </w:r>
                  <w:r>
                    <w:rPr>
                      <w:rFonts w:ascii="Times New Roman"/>
                      <w:b w:val="false"/>
                      <w:i w:val="false"/>
                      <w:color w:val="000000"/>
                      <w:sz w:val="20"/>
                    </w:rPr>
                    <w:t>
</w:t>
                  </w:r>
                </w:p>
              </w:tc>
            </w:tr>
          </w:tbl>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 xml:space="preserve">от </w:t>
            </w:r>
            <w:r>
              <w:rPr>
                <w:rFonts w:ascii="Times New Roman"/>
                <w:b w:val="false"/>
                <w:i/>
                <w:color w:val="000000"/>
                <w:sz w:val="20"/>
              </w:rPr>
              <w:t xml:space="preserve">27 мая </w:t>
            </w:r>
            <w:r>
              <w:rPr>
                <w:rFonts w:ascii="Times New Roman"/>
                <w:b w:val="false"/>
                <w:i w:val="false"/>
                <w:color w:val="000000"/>
                <w:sz w:val="20"/>
              </w:rPr>
              <w:t>2022 г. № 7</w:t>
            </w:r>
          </w:p>
        </w:tc>
      </w:tr>
    </w:tbl>
    <w:bookmarkStart w:name="z16" w:id="4"/>
    <w:p>
      <w:pPr>
        <w:spacing w:after="0"/>
        <w:ind w:left="0"/>
        <w:jc w:val="left"/>
      </w:pPr>
      <w:r>
        <w:rPr>
          <w:rFonts w:ascii="Times New Roman"/>
          <w:b/>
          <w:i w:val="false"/>
          <w:color w:val="000000"/>
        </w:rPr>
        <w:t xml:space="preserve"> ОСНОВНЫЕ ОРИЕНТИРЫ</w:t>
      </w:r>
    </w:p>
    <w:bookmarkEnd w:id="4"/>
    <w:p>
      <w:pPr>
        <w:spacing w:after="0"/>
        <w:ind w:left="0"/>
        <w:jc w:val="left"/>
      </w:pPr>
    </w:p>
    <w:p>
      <w:pPr>
        <w:spacing w:after="0"/>
        <w:ind w:left="0"/>
        <w:jc w:val="left"/>
      </w:pPr>
      <w:r>
        <w:rPr>
          <w:rFonts w:ascii="Times New Roman"/>
          <w:b/>
          <w:i w:val="false"/>
          <w:color w:val="000000"/>
        </w:rPr>
        <w:t xml:space="preserve"> макроэкономической политики государств – членов Евразийского экономического союза на 2022 - 2023 годы</w:t>
      </w:r>
    </w:p>
    <w:p>
      <w:pPr>
        <w:spacing w:after="0"/>
        <w:ind w:left="0"/>
        <w:jc w:val="left"/>
      </w:pPr>
    </w:p>
    <w:p>
      <w:pPr>
        <w:spacing w:after="0"/>
        <w:ind w:left="0"/>
        <w:jc w:val="both"/>
      </w:pPr>
      <w:r>
        <w:rPr>
          <w:rFonts w:ascii="Times New Roman"/>
          <w:b w:val="false"/>
          <w:i w:val="false"/>
          <w:color w:val="000000"/>
          <w:sz w:val="28"/>
        </w:rPr>
        <w:t xml:space="preserve">
      Настоящий документ, разработанный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определяет наиболее важные для экономик государств - членов Евразийского экономического союза (далее соответственно - государства-члены, Союз) кратко- и среднесрочные задачи и включает рекомендации по их решению. Настоящий документ ориентирован на достижение основных целей Союза, определенных Договором, и целей, установленных Основными направлениями экономического развития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16 октября 2015 г. № 28, а так же на реализацию Стратегических направлений развития евразийской экономической интеграции до 2025 года, утвержденных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11 декабря 2020 г. № 12 (далее - Стратегические направления).</w:t>
      </w:r>
    </w:p>
    <w:bookmarkStart w:name="z19" w:id="5"/>
    <w:p>
      <w:pPr>
        <w:spacing w:after="0"/>
        <w:ind w:left="0"/>
        <w:jc w:val="left"/>
      </w:pPr>
      <w:r>
        <w:rPr>
          <w:rFonts w:ascii="Times New Roman"/>
          <w:b/>
          <w:i w:val="false"/>
          <w:color w:val="000000"/>
        </w:rPr>
        <w:t xml:space="preserve"> I. Основные тенденции развития мировой экономики</w:t>
      </w:r>
    </w:p>
    <w:bookmarkEnd w:id="5"/>
    <w:p>
      <w:pPr>
        <w:spacing w:after="0"/>
        <w:ind w:left="0"/>
        <w:jc w:val="left"/>
      </w:pPr>
    </w:p>
    <w:p>
      <w:pPr>
        <w:spacing w:after="0"/>
        <w:ind w:left="0"/>
        <w:jc w:val="both"/>
      </w:pPr>
      <w:r>
        <w:rPr>
          <w:rFonts w:ascii="Times New Roman"/>
          <w:b w:val="false"/>
          <w:i w:val="false"/>
          <w:color w:val="000000"/>
          <w:sz w:val="28"/>
        </w:rPr>
        <w:t>
      В течение последних лет значительное влияние на развитие экономик стран мира оказывает пандемия коронавирусной инфекции СОVID-19 (далее - пандемия). Пандемия не только внесла существенные изменения в динамику мировой экономики, но и стала катализатором глобального перехода к новому технологическому и интегральному мирохозяйственному укладам, которые будут определять траекторию развития мировой экономической системы в ближайшие десятилетия.</w:t>
      </w:r>
    </w:p>
    <w:bookmarkStart w:name="z21" w:id="6"/>
    <w:p>
      <w:pPr>
        <w:spacing w:after="0"/>
        <w:ind w:left="0"/>
        <w:jc w:val="both"/>
      </w:pPr>
      <w:r>
        <w:rPr>
          <w:rFonts w:ascii="Times New Roman"/>
          <w:b w:val="false"/>
          <w:i w:val="false"/>
          <w:color w:val="000000"/>
          <w:sz w:val="28"/>
        </w:rPr>
        <w:t>
      Спад мировой экономики в 2020 году, составивший 3,1 процента, в 2021 году сменился восстановительным ростом в 6,1 процента (в настоящем разделе прирост ВВП указан по данным Международного валютного фонда (МВФ)). Позитивной динамике глобального экономического роста способствовало принятие мер, направленных на минимизацию последствий пандемии, включая ослабление ограничений, связанных с распространением коронавирусной инфекции СОУГО-19, по мере проведения во всем мире кампаний по вакцинации населения и продление действия стимулирующих мер макроэкономической политики в крупнейших странах мира.</w:t>
      </w:r>
    </w:p>
    <w:bookmarkEnd w:id="6"/>
    <w:bookmarkStart w:name="z22" w:id="7"/>
    <w:p>
      <w:pPr>
        <w:spacing w:after="0"/>
        <w:ind w:left="0"/>
        <w:jc w:val="both"/>
      </w:pPr>
      <w:r>
        <w:rPr>
          <w:rFonts w:ascii="Times New Roman"/>
          <w:b w:val="false"/>
          <w:i w:val="false"/>
          <w:color w:val="000000"/>
          <w:sz w:val="28"/>
        </w:rPr>
        <w:t>
      С начала пандемии кратно вырос спрос на вычислительную технику (в том числе портативную и мобильную), средства передачи данных, телекоммуникационное оборудование, программное обеспечение, продукцию фармацевтической промышленности и медицинские услуги. Ускорилось становление нового технологического уклада, ядро которого составляет комплекс цифровых, аддитивных, нано- и биоинженерных, информационно-коммуникационных технологий, которые становятся неотъемлемой частью большинства секторов экономики. В период пандемии широкое использование цифровых технологий создало возможности для развития сферы услуг за счет электронной торговли, дистанционного образования, телемедицины, а также адаптации к новым условиям функционирования финансового сектора, сфер общественного питания, культуры и искусства, государственных услуг.</w:t>
      </w:r>
    </w:p>
    <w:bookmarkEnd w:id="7"/>
    <w:bookmarkStart w:name="z23" w:id="8"/>
    <w:p>
      <w:pPr>
        <w:spacing w:after="0"/>
        <w:ind w:left="0"/>
        <w:jc w:val="both"/>
      </w:pPr>
      <w:r>
        <w:rPr>
          <w:rFonts w:ascii="Times New Roman"/>
          <w:b w:val="false"/>
          <w:i w:val="false"/>
          <w:color w:val="000000"/>
          <w:sz w:val="28"/>
        </w:rPr>
        <w:t>
      Важнейшим фактором, оказавшим влияние на динамику глобального экономического развития в 2021 году, являлось волнообразное распространение коронавирусной инфекции СОУГО-19, связанное с появлением новых штаммов "дельта" и "омикрон". На фоне новых вспышек коронавирусной инфекции СОУГО-19 ослабление ограничений, связанных с ее распространением, сменялось ужесточением. Замедлялось производство, сокращались рабочие места, усугублялась проблема разбалансировки международных производственно-логистических цепочек. В результате пик восстановительного роста, пришедшийся на II квартал 2021 г., сменился замедлением, а нарастание дисбаланса между спросом и предложением привело к значительному росту инфляции и оказало сдерживающее влияние на динамику макроэкономических показателей в конце 2021 года - начале 2022 года.</w:t>
      </w:r>
    </w:p>
    <w:bookmarkEnd w:id="8"/>
    <w:bookmarkStart w:name="z24" w:id="9"/>
    <w:p>
      <w:pPr>
        <w:spacing w:after="0"/>
        <w:ind w:left="0"/>
        <w:jc w:val="both"/>
      </w:pPr>
      <w:r>
        <w:rPr>
          <w:rFonts w:ascii="Times New Roman"/>
          <w:b w:val="false"/>
          <w:i w:val="false"/>
          <w:color w:val="000000"/>
          <w:sz w:val="28"/>
        </w:rPr>
        <w:t>
      На фоне усиливающейся разбалансированности мировой экономики и неопределенности глобальных макроэкономических показателей сохраняется устойчивая тенденция опережающего экономического роста стран, составляющих ядро нового мирохозяйственного уклада. Основываясь на достижениях передового технологического уклада и эффективной системе управления экономикой, которая сочетает в себе стратегическое планирование и развитие частного сектора, опираясь в большей степени на потенциал внутреннего рынка, в 2020 году Китайская Народная Республика стала единственной страной с крупной экономикой, имеющей положительные темпы экономического роста (2,3 процента). По итогам 2021 года ВВП Китая увеличился на 8,1 процента.</w:t>
      </w:r>
    </w:p>
    <w:bookmarkEnd w:id="9"/>
    <w:bookmarkStart w:name="z25" w:id="10"/>
    <w:p>
      <w:pPr>
        <w:spacing w:after="0"/>
        <w:ind w:left="0"/>
        <w:jc w:val="both"/>
      </w:pPr>
      <w:r>
        <w:rPr>
          <w:rFonts w:ascii="Times New Roman"/>
          <w:b w:val="false"/>
          <w:i w:val="false"/>
          <w:color w:val="000000"/>
          <w:sz w:val="28"/>
        </w:rPr>
        <w:t>
      В 2021 году наиболее высокие темпы роста показала индийская экономика, которая, претерпев глубокий спад ВВП в 2020 году (на 7,3 процента), по итогам 2021 года обеспечила его прирост на 8,9 процента. В немалой степени этому способствовали увеличение бюджетных расходов на здравоохранение, инфраструктуру и новые отрасли экономики, а также действия Резервного банка Индии, направленные на снижение экономических потерь от пандемии.</w:t>
      </w:r>
    </w:p>
    <w:bookmarkEnd w:id="10"/>
    <w:bookmarkStart w:name="z26" w:id="11"/>
    <w:p>
      <w:pPr>
        <w:spacing w:after="0"/>
        <w:ind w:left="0"/>
        <w:jc w:val="both"/>
      </w:pPr>
      <w:r>
        <w:rPr>
          <w:rFonts w:ascii="Times New Roman"/>
          <w:b w:val="false"/>
          <w:i w:val="false"/>
          <w:color w:val="000000"/>
          <w:sz w:val="28"/>
        </w:rPr>
        <w:t>
      В других регионах восстановление экономики не было столь динамичным. Несмотря на мощную поддержку со стороны бюджетной и денежно-кредитной политики, темпы экономического роста в европейских и североамериканских странах в 2021 году оказались несколько ниже среднемировых значений или приблизительно равны им. В США в 2021 году объем финансирования стимулирующих мер составил 1,9 трлн долларов США. В Европейском союзе, помимо финансирования потребностей государств-членов, связанных с пандемией, с 1 июня 2021 г. начал функционировать фонд восстановления и устойчивости объемом 750 млрд евро, привлекаемых за счет внутренних заимствований на финансовом рынке. Продолжали действовать меры, принятые крупнейшими центральными банками в рамках программ поддержки экономик. Объем программы экстренной скупки активов Европейского центрального банка до марта 2022 г. составил 1,85 трлн евро. Федеральная резервная система США на протяжении почти всего 2021 года скупала активы на сумму не менее 120 млрд долларов США в месяц, несколько сократив объем выкупа лишь в конце года. Сохранение исторически низких процентных ставок крупнейшими центральными банками в течение всего 2021 года обеспечило низкую стоимость кредитования для экономических субъектов, поддерживая спрос на заемные средства.</w:t>
      </w:r>
    </w:p>
    <w:bookmarkEnd w:id="11"/>
    <w:bookmarkStart w:name="z27" w:id="12"/>
    <w:p>
      <w:pPr>
        <w:spacing w:after="0"/>
        <w:ind w:left="0"/>
        <w:jc w:val="both"/>
      </w:pPr>
      <w:r>
        <w:rPr>
          <w:rFonts w:ascii="Times New Roman"/>
          <w:b w:val="false"/>
          <w:i w:val="false"/>
          <w:color w:val="000000"/>
          <w:sz w:val="28"/>
        </w:rPr>
        <w:t>
      Масштабные стимулирующие меры бюджетной и денежно- кредитной политики придали импульс стремительному оживлению спроса и создали условия для восстановления экономической активности. Однако наряду с ограниченным ростом производства и логистическими сбоями огромное количество выпущенных в экономику денежных средств спровоцировало глобальное и устойчивое повышение цен на мировых рынках. Начиная с середины 2021 года рост потребительских цен наблюдается во всем мире, за исключением стран Юго-Восточной Азии, в которых точечная поддержка наиболее пострадавших отраслей экономики, меньшая зависимость от сбоев в цепочках поставок и иная структура потребительской корзины позволили поддерживать инфляцию на уровне немногим более 2 процентов и сохранить стимулирующую денежно-кредитную политику.</w:t>
      </w:r>
    </w:p>
    <w:bookmarkEnd w:id="12"/>
    <w:bookmarkStart w:name="z28" w:id="13"/>
    <w:p>
      <w:pPr>
        <w:spacing w:after="0"/>
        <w:ind w:left="0"/>
        <w:jc w:val="both"/>
      </w:pPr>
      <w:r>
        <w:rPr>
          <w:rFonts w:ascii="Times New Roman"/>
          <w:b w:val="false"/>
          <w:i w:val="false"/>
          <w:color w:val="000000"/>
          <w:sz w:val="28"/>
        </w:rPr>
        <w:t>
      Основной вклад в глобальную ценовую динамику внесли сырьевые товары и пищевые продукты. По данным Продовольственной и сельскохозяйственной организации Объединенных Наций, индекс продовольственных цен в марте 2022 г. составил 159,3 пункта. В связи с высокой долей пищевых продуктов в структуре потребления ускорение инфляции в большей степени затрагивает развивающиеся страны. Согласно данным МВФ, рост цен в развивающихся странах по итогам 2021 года составил 5,9 процента, тогда как в развитых странах - 3,1 процента, в 2022 году он может существенно увеличиться, что еще более усиливает разрыв в экономическом развитии и уровне жизни населения.</w:t>
      </w:r>
    </w:p>
    <w:bookmarkEnd w:id="13"/>
    <w:bookmarkStart w:name="z29" w:id="14"/>
    <w:p>
      <w:pPr>
        <w:spacing w:after="0"/>
        <w:ind w:left="0"/>
        <w:jc w:val="both"/>
      </w:pPr>
      <w:r>
        <w:rPr>
          <w:rFonts w:ascii="Times New Roman"/>
          <w:b w:val="false"/>
          <w:i w:val="false"/>
          <w:color w:val="000000"/>
          <w:sz w:val="28"/>
        </w:rPr>
        <w:t>
      Отставание развивающихся стран с низкими доходами от экономик развитых стран продолжает расти. Основной причиной углубления межстранового неравенства является усиление роста цен на питание и продукты первой необходимости при отсутствии у стран с низкими доходами возможностей для принятия масштабных мер экономической поддержки в связи с ограниченностью бюджетных ресурсов. Усугубляется проблема роста государственного долга. По оценке МВФ, общий суверенный государственный долг всех стран уже составляет почти 100 процентов мирового ВВП и будет увеличиваться за счет нарастания долговых обязательств развивающихся стран.</w:t>
      </w:r>
    </w:p>
    <w:bookmarkEnd w:id="14"/>
    <w:bookmarkStart w:name="z30" w:id="15"/>
    <w:p>
      <w:pPr>
        <w:spacing w:after="0"/>
        <w:ind w:left="0"/>
        <w:jc w:val="both"/>
      </w:pPr>
      <w:r>
        <w:rPr>
          <w:rFonts w:ascii="Times New Roman"/>
          <w:b w:val="false"/>
          <w:i w:val="false"/>
          <w:color w:val="000000"/>
          <w:sz w:val="28"/>
        </w:rPr>
        <w:t>
      В 2021 году значительно усилилась направленность мировой экономики на трансформацию энергетического сектора с учетом принципов "зеленой" экономики и изменение структуры энергопотребления в пользу возобновляемых источников энергии. К настоящему моменту более 70 процентов мировой экономики охвачено обязательствами государств по достижению нулевого нетто- показателя выбросов углерода. В июле 2021 г. Европейская комиссия опубликовала законопроект о введении Европейским союзом механизма углеродной корректировки при импорте. Ожидается, что в дальнейшем примеру Европейского союза могут последовать и другие страны.</w:t>
      </w:r>
    </w:p>
    <w:bookmarkEnd w:id="15"/>
    <w:bookmarkStart w:name="z31" w:id="16"/>
    <w:p>
      <w:pPr>
        <w:spacing w:after="0"/>
        <w:ind w:left="0"/>
        <w:jc w:val="both"/>
      </w:pPr>
      <w:r>
        <w:rPr>
          <w:rFonts w:ascii="Times New Roman"/>
          <w:b w:val="false"/>
          <w:i w:val="false"/>
          <w:color w:val="000000"/>
          <w:sz w:val="28"/>
        </w:rPr>
        <w:t>
      Приоритет такой трансформации экономики был подтвержден на прошедшей в октябре - ноябре 2021 г. 26-й Конференции Организации Объединенных Наций по изменению климата в Елазго, по итогам которой достигнут ряд основополагающих договоренностей в сфере сохранения лесов, снижения использования угля в энергетике, сокращения выбросов углекислого газа и метана, сдерживания глобального потепления и обозначен устойчивый тренд на смещение инвестиционных приоритетов в сторону "зеленых" проектов и развитие рынков "зеленого" финансирования, а также на соответствие стратегической направленности государственной политики принципу экологизации экономики. Согласно данным Международной организации труда, применение государственных мер, направленных на развитие "зеленой" экономики, позволит создать к 2030 году во всем мире 24 млн новых рабочих мест.</w:t>
      </w:r>
    </w:p>
    <w:bookmarkEnd w:id="16"/>
    <w:bookmarkStart w:name="z32" w:id="17"/>
    <w:p>
      <w:pPr>
        <w:spacing w:after="0"/>
        <w:ind w:left="0"/>
        <w:jc w:val="both"/>
      </w:pPr>
      <w:r>
        <w:rPr>
          <w:rFonts w:ascii="Times New Roman"/>
          <w:b w:val="false"/>
          <w:i w:val="false"/>
          <w:color w:val="000000"/>
          <w:sz w:val="28"/>
        </w:rPr>
        <w:t>
      Таким образом, глобальная экономика после кризиса 2020 года благодаря масштабной бюджетной и денежно-кредитной поддержке перешла к восстановлению на основе опережающего роста производств нового технологического уклада. Однако темпы экономического роста в мире оказались ниже ожидаемых, так как пандемический шок продолжает оказывать влияние на все экономические процессы. Дестабилизирующим фактором является и нарастающее инфляционное давление, связанное с резким усилением роста стоимости энергетических ресурсов и иных сырьевых товаров, а также с разрывом логистических цепочек на фоне нарастания геополитической напряженности. Это оказывает влияние на уровень цен во всем мире и создает дополнительную турбулентность в мировой экономике.</w:t>
      </w:r>
    </w:p>
    <w:bookmarkEnd w:id="17"/>
    <w:bookmarkStart w:name="z33" w:id="18"/>
    <w:p>
      <w:pPr>
        <w:spacing w:after="0"/>
        <w:ind w:left="0"/>
        <w:jc w:val="left"/>
      </w:pPr>
      <w:r>
        <w:rPr>
          <w:rFonts w:ascii="Times New Roman"/>
          <w:b/>
          <w:i w:val="false"/>
          <w:color w:val="000000"/>
        </w:rPr>
        <w:t xml:space="preserve"> II. Развитие экономик государств-членов в 2021 году и начале 2022 года</w:t>
      </w:r>
    </w:p>
    <w:bookmarkEnd w:id="18"/>
    <w:bookmarkStart w:name="z34" w:id="19"/>
    <w:p>
      <w:pPr>
        <w:spacing w:after="0"/>
        <w:ind w:left="0"/>
        <w:jc w:val="both"/>
      </w:pPr>
      <w:r>
        <w:rPr>
          <w:rFonts w:ascii="Times New Roman"/>
          <w:b w:val="false"/>
          <w:i w:val="false"/>
          <w:color w:val="000000"/>
          <w:sz w:val="28"/>
        </w:rPr>
        <w:t>
      После экономического спада в 2020 году государствам-членам удалось адаптироваться к функционированию в условиях действия ограничительных мер по борьбе с коронавирусной инфекцией СОVID-19 и перейти к восстановительному росту. Экономический рост в целом по Союзу за 2021 год составил 4,6 процента, при этом отставая от среднемирового значения и продолжая тенденцию снижения доли Союза в мировой экономике.</w:t>
      </w:r>
    </w:p>
    <w:bookmarkEnd w:id="19"/>
    <w:bookmarkStart w:name="z35" w:id="20"/>
    <w:p>
      <w:pPr>
        <w:spacing w:after="0"/>
        <w:ind w:left="0"/>
        <w:jc w:val="both"/>
      </w:pPr>
      <w:r>
        <w:rPr>
          <w:rFonts w:ascii="Times New Roman"/>
          <w:b w:val="false"/>
          <w:i w:val="false"/>
          <w:color w:val="000000"/>
          <w:sz w:val="28"/>
        </w:rPr>
        <w:t>
      В I полугодии 2021 г. подъему экономической активности способствовали широкие меры бюджетной поддержки и относительно мягкие денежно-кредитные условия. Однако впоследствии с учетом возросшей инфляции национальные (центральные) банки всех государств-членов постепенно повышали процентные ставки. Бюджетное стимулирование в большинстве государств-членов снижается, что также является сдерживающим фактором для экономического роста.</w:t>
      </w:r>
    </w:p>
    <w:bookmarkEnd w:id="20"/>
    <w:bookmarkStart w:name="z36" w:id="21"/>
    <w:p>
      <w:pPr>
        <w:spacing w:after="0"/>
        <w:ind w:left="0"/>
        <w:jc w:val="both"/>
      </w:pPr>
      <w:r>
        <w:rPr>
          <w:rFonts w:ascii="Times New Roman"/>
          <w:b w:val="false"/>
          <w:i w:val="false"/>
          <w:color w:val="000000"/>
          <w:sz w:val="28"/>
        </w:rPr>
        <w:t>
      По итогам 2021 года прирост инвестиций в основной капитал составил 6,8 процента, что стало важным фактором восстановления экономического роста, однако, по оценке Евразийской экономической комиссии, для достижения среднемировых значений он должен составлять не менее 8-12 процентов в год.</w:t>
      </w:r>
    </w:p>
    <w:bookmarkEnd w:id="21"/>
    <w:bookmarkStart w:name="z37" w:id="22"/>
    <w:p>
      <w:pPr>
        <w:spacing w:after="0"/>
        <w:ind w:left="0"/>
        <w:jc w:val="both"/>
      </w:pPr>
      <w:r>
        <w:rPr>
          <w:rFonts w:ascii="Times New Roman"/>
          <w:b w:val="false"/>
          <w:i w:val="false"/>
          <w:color w:val="000000"/>
          <w:sz w:val="28"/>
        </w:rPr>
        <w:t>
      Позитивную динамику во всех государствах-членах по итогам 2021 года показала промышленность. Наиболее высокий рост был характерен для высокотехнологичных отраслей экономики. В целом по Союзу прирост производства продукции фармацевтической отрасли составил 11,7 процента, автотранспортных средств - 14,1 процента, транспортного оборудования - 9 процентов. Производство летательных аппаратов выросло на 20,3 процента, станков и промышленного оборудования - на 17,3 процента, машин и оборудования для сельского и лесного хозяйства - на 27 процентов.</w:t>
      </w:r>
    </w:p>
    <w:bookmarkEnd w:id="22"/>
    <w:bookmarkStart w:name="z38" w:id="23"/>
    <w:p>
      <w:pPr>
        <w:spacing w:after="0"/>
        <w:ind w:left="0"/>
        <w:jc w:val="both"/>
      </w:pPr>
      <w:r>
        <w:rPr>
          <w:rFonts w:ascii="Times New Roman"/>
          <w:b w:val="false"/>
          <w:i w:val="false"/>
          <w:color w:val="000000"/>
          <w:sz w:val="28"/>
        </w:rPr>
        <w:t>
      В то же время снижение урожая основных сельскохозяйственных культур на фоне засухи в ряде регионов и рост затрат на закупку кормов и удобрений, энергоносителей, покупку и аренду земельных участков привели к повышению цен на сельскохозяйственную продукцию, снижению выручки производителей и сокращению производства сельскохозяйственной продукции во всех государствах-членах, которое в целом по Союзу по итогам 2021 года составило 98,6 процента по отношению к 2020 году.</w:t>
      </w:r>
    </w:p>
    <w:bookmarkEnd w:id="23"/>
    <w:bookmarkStart w:name="z39" w:id="24"/>
    <w:p>
      <w:pPr>
        <w:spacing w:after="0"/>
        <w:ind w:left="0"/>
        <w:jc w:val="both"/>
      </w:pPr>
      <w:r>
        <w:rPr>
          <w:rFonts w:ascii="Times New Roman"/>
          <w:b w:val="false"/>
          <w:i w:val="false"/>
          <w:color w:val="000000"/>
          <w:sz w:val="28"/>
        </w:rPr>
        <w:t>
      Во всех государствах-членах значительно вырос объем внешней и взаимной торговли - на 35,1 и 31,9 процента соответственно в целом по Союзу. Во внешней торговле рост стоимостного объема экспорта опережал динамику импорта, что в первую очередь обусловлено стремительным повышением цен на основные экспортируемые товары государств-членов. При этом физический объем экспорта в 2021 году по сравнению с 2020 годом сократился на 1,5 процента, в то время как физический объем импортных закупок вырос на 13,9 процента. В структуре экспорта сохраняется преобладание сырьевых товаров, в то время как в импорте приоритет отдан продукции машиностроения.</w:t>
      </w:r>
    </w:p>
    <w:bookmarkEnd w:id="24"/>
    <w:bookmarkStart w:name="z40" w:id="25"/>
    <w:p>
      <w:pPr>
        <w:spacing w:after="0"/>
        <w:ind w:left="0"/>
        <w:jc w:val="both"/>
      </w:pPr>
      <w:r>
        <w:rPr>
          <w:rFonts w:ascii="Times New Roman"/>
          <w:b w:val="false"/>
          <w:i w:val="false"/>
          <w:color w:val="000000"/>
          <w:sz w:val="28"/>
        </w:rPr>
        <w:t>
      Экономики государств-членов интегрированы в систему мировых хозяйственных связей и во многом зависят от поставок из третьих стран. На фоне недостаточности отечественного предложения динамика импортных цен оказала значительное давление на ускорение инфляции в государствах-членах. Стоимость товаров, поставляемых из третьих стран, за 2021 год выросла в среднем на 7,6 процента, при этом около 70 процентов стоимостного импорта из третьих стран составляют товары промежуточного и инвестиционного спроса.</w:t>
      </w:r>
    </w:p>
    <w:bookmarkEnd w:id="25"/>
    <w:bookmarkStart w:name="z41" w:id="26"/>
    <w:p>
      <w:pPr>
        <w:spacing w:after="0"/>
        <w:ind w:left="0"/>
        <w:jc w:val="both"/>
      </w:pPr>
      <w:r>
        <w:rPr>
          <w:rFonts w:ascii="Times New Roman"/>
          <w:b w:val="false"/>
          <w:i w:val="false"/>
          <w:color w:val="000000"/>
          <w:sz w:val="28"/>
        </w:rPr>
        <w:t>
      Основным фактором ускорения инфляции в 2021 году являлся дисбаланс спроса и предложения, связанный с устойчивым ростом внутреннего спроса, опережающим возможности расширения производства в рамках широкого круга отраслей. В результате во всех государствах-членах по итогам 2021 года зафиксирован рост цен, превышающий национальные среднесрочные цели по инфляции. Наименьший рост потребительских цен отмечен в Республике Армения (7,7 процента), наибольший - в Кыргызской Республике (11,2 процента). В начале 2022 года инерцию роста цен существенно усилили обесценение национальных валют государств-членов на фоне обострения геополитических рисков, а также увеличение инфляционных ожиданий населения и бизнеса, отражающее высокую неопределенность текущих процессов в экономике.</w:t>
      </w:r>
    </w:p>
    <w:bookmarkEnd w:id="26"/>
    <w:bookmarkStart w:name="z42" w:id="27"/>
    <w:p>
      <w:pPr>
        <w:spacing w:after="0"/>
        <w:ind w:left="0"/>
        <w:jc w:val="both"/>
      </w:pPr>
      <w:r>
        <w:rPr>
          <w:rFonts w:ascii="Times New Roman"/>
          <w:b w:val="false"/>
          <w:i w:val="false"/>
          <w:color w:val="000000"/>
          <w:sz w:val="28"/>
        </w:rPr>
        <w:t>
      Бюджеты государств-членов, несмотря на продолжающуюся адресную поддержку наиболее уязвимых категорий населения и бизнеса, были сформированы и исполнены с учетом изменившихся условий. Большинство государств-членов (за исключением Республики Армения и Республики Казахстан) не превысило предельный уровень годового дефицита консолидированного бюджета сектора государственного управления, установленный статьей 63 Договора. Всем государствам-членам в 2021 году удалось изменить тенденцию роста долга сектора государственного управления по отношению к ВВП и перейти к его снижению. В то же время в Республике Армения и Кыргызской Республике уровень долга сектора государственного управления, установленный статьей 63 Договора, по-прежнему превышен.</w:t>
      </w:r>
    </w:p>
    <w:bookmarkEnd w:id="27"/>
    <w:bookmarkStart w:name="z43" w:id="28"/>
    <w:p>
      <w:pPr>
        <w:spacing w:after="0"/>
        <w:ind w:left="0"/>
        <w:jc w:val="both"/>
      </w:pPr>
      <w:r>
        <w:rPr>
          <w:rFonts w:ascii="Times New Roman"/>
          <w:b w:val="false"/>
          <w:i w:val="false"/>
          <w:color w:val="000000"/>
          <w:sz w:val="28"/>
        </w:rPr>
        <w:t>
      Увеличение адресных бюджетных выплат и восстановление экономической активности позволили увеличить реальные доходы населения относительно предыдущего года. Однако реальные расходы на потребление на фоне повышения инфляционных ожиданий росли опережающими темпами, в том числе за счет повышения объемов потребительского кредитования. В структуре потребительского спроса в 2021 году наблюдалось перераспределение расходов в сторону товаров длительного пользования за счет снижения доли услуг.</w:t>
      </w:r>
    </w:p>
    <w:bookmarkEnd w:id="28"/>
    <w:bookmarkStart w:name="z44" w:id="29"/>
    <w:p>
      <w:pPr>
        <w:spacing w:after="0"/>
        <w:ind w:left="0"/>
        <w:jc w:val="both"/>
      </w:pPr>
      <w:r>
        <w:rPr>
          <w:rFonts w:ascii="Times New Roman"/>
          <w:b w:val="false"/>
          <w:i w:val="false"/>
          <w:color w:val="000000"/>
          <w:sz w:val="28"/>
        </w:rPr>
        <w:t>
      В ответ на отклонение инфляции от целевых ориентиров все национальные (центральные) банки государств-членов приняли ряд решений о необходимости сдерживания спроса и повысили номинальные ключевые ставки. Учитывая, что факторы, влияющие на текущую динамику цен, лишь отчасти имеют монетарные предпосылки, антиинфляционное реагирование в государствах-членах может также предусматривать меры по расширению товарного предложения, снижению издержек и повышению эффективности производства товаров, поддержке конкуренции.</w:t>
      </w:r>
    </w:p>
    <w:bookmarkEnd w:id="29"/>
    <w:bookmarkStart w:name="z45" w:id="30"/>
    <w:p>
      <w:pPr>
        <w:spacing w:after="0"/>
        <w:ind w:left="0"/>
        <w:jc w:val="both"/>
      </w:pPr>
      <w:r>
        <w:rPr>
          <w:rFonts w:ascii="Times New Roman"/>
          <w:b w:val="false"/>
          <w:i w:val="false"/>
          <w:color w:val="000000"/>
          <w:sz w:val="28"/>
        </w:rPr>
        <w:t>
      В целом в 2021 году государствам-членам удалось не допустить неконтролируемого ухудшения экономической ситуации, обеспечив реализацию антикризисных программ финансовой поддержки, восстановить деловую активность, занятость и взаимную торговлю, а также показать более высокие темпы экономического роста, чем в допандемический период. В то же время экономический рост в целом по Союзу не достиг среднемирового уровня, оказавшись вблизи нижней границы интервала 4,5 - 5,5 процента в год, предусмотренного основными ориентирами макроэкономической политики государств - членов Евразийского экономического союза на 2021 - 2022 годы, утвержденными Решением Высшего Евразийского экономического совета от 21 мая 2021 г. № 9, и имеет тенденцию к замедлению.</w:t>
      </w:r>
    </w:p>
    <w:bookmarkEnd w:id="30"/>
    <w:bookmarkStart w:name="z46" w:id="31"/>
    <w:p>
      <w:pPr>
        <w:spacing w:after="0"/>
        <w:ind w:left="0"/>
        <w:jc w:val="both"/>
      </w:pPr>
      <w:r>
        <w:rPr>
          <w:rFonts w:ascii="Times New Roman"/>
          <w:b w:val="false"/>
          <w:i w:val="false"/>
          <w:color w:val="000000"/>
          <w:sz w:val="28"/>
        </w:rPr>
        <w:t>
      В среднесрочной перспективе основные риски для экономического развития государств-членов связаны с рядом внешних вызовов и внутренних ограничений. Среди внешних рисков значительное влияние могут оказать усиление геополитического и санкционного давления на Республику Беларусь и Российскую Федерацию, продолжение роста мировых цен и нарастающий технологический отрыв торговых партнеров Союза, ограничивающих поставки высокотехнологичных товаров в отдельные государства-члены и использование международных межбанковских систем совершения платежей. Высокие риски также будут связаны с распространением новых волн коронавирусной инфекции СОУГО-19 и сохранением соответствующих ограничительных мер, волатильностью на сырьевых и финансовых рынках, ускорением глобального энергоперехода и введением в третьих странах механизма трансграничного углеродного регулирования.</w:t>
      </w:r>
    </w:p>
    <w:bookmarkEnd w:id="31"/>
    <w:bookmarkStart w:name="z47" w:id="32"/>
    <w:p>
      <w:pPr>
        <w:spacing w:after="0"/>
        <w:ind w:left="0"/>
        <w:jc w:val="both"/>
      </w:pPr>
      <w:r>
        <w:rPr>
          <w:rFonts w:ascii="Times New Roman"/>
          <w:b w:val="false"/>
          <w:i w:val="false"/>
          <w:color w:val="000000"/>
          <w:sz w:val="28"/>
        </w:rPr>
        <w:t>
      Государствами-членами принят перечень мер по повышению устойчивости экономик государств - членов Евразийского экономического союза, включая обеспечение макроэкономической стабильности, утвержденный распоряжением Совета Евразийской экономической комиссии от 17 марта 2022 г. № 12. Перечень содержит меры по таможенному, таможенно-тарифному и нетарифному регулированию, защитные меры, меры, касающиеся внутреннего рынка и кооперации, финансовых и валютных рынков, а также меры по международному и экономическому сотрудничеству с третьими странами и интеграционными объединениями.</w:t>
      </w:r>
    </w:p>
    <w:bookmarkEnd w:id="32"/>
    <w:bookmarkStart w:name="z48" w:id="33"/>
    <w:p>
      <w:pPr>
        <w:spacing w:after="0"/>
        <w:ind w:left="0"/>
        <w:jc w:val="both"/>
      </w:pPr>
      <w:r>
        <w:rPr>
          <w:rFonts w:ascii="Times New Roman"/>
          <w:b w:val="false"/>
          <w:i w:val="false"/>
          <w:color w:val="000000"/>
          <w:sz w:val="28"/>
        </w:rPr>
        <w:t>
      Наиболее важными внутренними ограничениями могут стать низкая инвестиционная и инновационная активность, стагнация доходов населения, продолжение оттока капитала, недостаточность долгосрочного кредитования и венчурного финансирования для развития научно-технического и производственного потенциала, недостаточная развитость финансовых рынков и рынка капитала для загрузки имеющихся производственных мощностей и обеспечения занятости, а также постпандемический вызов структурного дефицита трудовых ресурсов.</w:t>
      </w:r>
    </w:p>
    <w:bookmarkEnd w:id="33"/>
    <w:bookmarkStart w:name="z49" w:id="34"/>
    <w:p>
      <w:pPr>
        <w:spacing w:after="0"/>
        <w:ind w:left="0"/>
        <w:jc w:val="both"/>
      </w:pPr>
      <w:r>
        <w:rPr>
          <w:rFonts w:ascii="Times New Roman"/>
          <w:b w:val="false"/>
          <w:i w:val="false"/>
          <w:color w:val="000000"/>
          <w:sz w:val="28"/>
        </w:rPr>
        <w:t>
      Для преодоления этих вызовов и ограничений необходима скорейшая и последовательная реализация мер и механизмов, заложенных в Стратегических направлениях и предусматривающих создание условий для динамичного и устойчивого развития экономик государств-членов. Достижение национальными экономиками высоких и устойчивых темпов роста возможно только на основе обеспечения реализации в Союзе стратегии опережающего экономического развития в контексте вызовов и перспектив нового технологического уклада в постпандемический период.</w:t>
      </w:r>
    </w:p>
    <w:bookmarkEnd w:id="34"/>
    <w:bookmarkStart w:name="z50" w:id="35"/>
    <w:p>
      <w:pPr>
        <w:spacing w:after="0"/>
        <w:ind w:left="0"/>
        <w:jc w:val="left"/>
      </w:pPr>
      <w:r>
        <w:rPr>
          <w:rFonts w:ascii="Times New Roman"/>
          <w:b/>
          <w:i w:val="false"/>
          <w:color w:val="000000"/>
        </w:rPr>
        <w:t xml:space="preserve"> III. Основные ориентиры макроэкономической политики государств-членов на 2022 - 2023 годы и рекомендуемые меры по их достижению</w:t>
      </w:r>
    </w:p>
    <w:bookmarkEnd w:id="35"/>
    <w:bookmarkStart w:name="z51" w:id="36"/>
    <w:p>
      <w:pPr>
        <w:spacing w:after="0"/>
        <w:ind w:left="0"/>
        <w:jc w:val="both"/>
      </w:pPr>
      <w:r>
        <w:rPr>
          <w:rFonts w:ascii="Times New Roman"/>
          <w:b w:val="false"/>
          <w:i w:val="false"/>
          <w:color w:val="000000"/>
          <w:sz w:val="28"/>
        </w:rPr>
        <w:t>
      В период 2022 - 2023 годов, по прогнозам ведущих международных организаций, мировая экономика, пройдя пик восстановления в I полугодии 2021 г., продолжит замедляться. По прогнозу МВФ, глобальный экономический рост в 2022 - 2023 годах составит 3,6 процента ежегодно. Китайская экономика в 2022 году может вырасти на 4,4 процента, а в 2023 - на 5,1 процента, индийская - на 8,2 и 6,9 процента соответственно. Экономическое развитие Союза в этот период продолжит отставать от динамики мировой экономики.</w:t>
      </w:r>
    </w:p>
    <w:bookmarkEnd w:id="36"/>
    <w:bookmarkStart w:name="z52" w:id="37"/>
    <w:p>
      <w:pPr>
        <w:spacing w:after="0"/>
        <w:ind w:left="0"/>
        <w:jc w:val="both"/>
      </w:pPr>
      <w:r>
        <w:rPr>
          <w:rFonts w:ascii="Times New Roman"/>
          <w:b w:val="false"/>
          <w:i w:val="false"/>
          <w:color w:val="000000"/>
          <w:sz w:val="28"/>
        </w:rPr>
        <w:t>
      Несмотря на то что прибыль крупных и средних предприятий на фоне удорожания сырьевых и потребительских товаров в 2021 году достигла уровня, превышающего допандемические значения, инвестиционная активность остается слабой, не происходит перетока капитала из экспортно-ориентированных сырьевых производств в высокотехнологичные сектора экономики, сохраняется значительный вывоз капитала в третьи страны. В частности, в Российской Федерации чистая прибыль крупных и средних предприятий в 2021 году увеличилась в 2,6 раза, показав самый динамичный рост за последние годы. Однако отток капитала за этот же период вырос почти в 1,5 раза, до 72 млрд долларов США. Это обусловливает важность проведения работы по деофшоризации экономик государств-членов, повышению инвестиционной привлекательности Союза и развитию взаимных инвестиций. Одним из важнейших направлений по формированию благоприятных условий для повышения объемов инвестиций является обеспечение макроэкономической устойчивости. Действенным ответом на инфляционную ситуацию должно стать всестороннее содействие повышению эффективности производства товаров и предоставления услуг и расширению их предложения на рынке Союза.</w:t>
      </w:r>
    </w:p>
    <w:bookmarkEnd w:id="37"/>
    <w:bookmarkStart w:name="z53" w:id="38"/>
    <w:p>
      <w:pPr>
        <w:spacing w:after="0"/>
        <w:ind w:left="0"/>
        <w:jc w:val="both"/>
      </w:pPr>
      <w:r>
        <w:rPr>
          <w:rFonts w:ascii="Times New Roman"/>
          <w:b w:val="false"/>
          <w:i w:val="false"/>
          <w:color w:val="000000"/>
          <w:sz w:val="28"/>
        </w:rPr>
        <w:t>
      Для стимулирования вложений в научно-техническое развитие, модернизацию производства в государствах-членах, повышение производительности и эффективности необходимо ориентирование макроэкономической политики на цели повышения инвестиционной и инновационной активности, улучшение делового климата, снижение инвестиционных рисков и создание оптимальных условий для реализации в государствах-членах перспективных инвестиционных и инновационных проектов. Для привлечения инвестиций важно активизировать меры по развитию рынка капитала.</w:t>
      </w:r>
    </w:p>
    <w:bookmarkEnd w:id="38"/>
    <w:bookmarkStart w:name="z54" w:id="39"/>
    <w:p>
      <w:pPr>
        <w:spacing w:after="0"/>
        <w:ind w:left="0"/>
        <w:jc w:val="both"/>
      </w:pPr>
      <w:r>
        <w:rPr>
          <w:rFonts w:ascii="Times New Roman"/>
          <w:b w:val="false"/>
          <w:i w:val="false"/>
          <w:color w:val="000000"/>
          <w:sz w:val="28"/>
        </w:rPr>
        <w:t>
      Частные инвестиции необходимо поддерживать инструментами бюджетной политики, включая налоговое и административное стимулирование, а также широким внедрением софинансирования инвестиционных проектов в различных секторах экономики, в том числе на основе государственно-частного партнерства. В среднесрочном периоде одними из важнейших приоритетов бюджетной политики останутся финансирование расходов на нужды здравоохранения, а также адресная поддержка особо нуждающихся категорий населения и пострадавших от неблагоприятной экономической ситуации секторов экономики. В то же время по мере адаптации бюджетов к новым условиям приоритетами налогово-бюджетной политики государств- членов должны стать структурная перестройка экономики, инвестиции в научные исследования, наращивание человеческого капитала и другие долгосрочные задачи, создающие возможности для перехода государств-членов к новому качеству экономического развития и ускорения экономического роста.</w:t>
      </w:r>
    </w:p>
    <w:bookmarkEnd w:id="39"/>
    <w:bookmarkStart w:name="z55" w:id="40"/>
    <w:p>
      <w:pPr>
        <w:spacing w:after="0"/>
        <w:ind w:left="0"/>
        <w:jc w:val="both"/>
      </w:pPr>
      <w:r>
        <w:rPr>
          <w:rFonts w:ascii="Times New Roman"/>
          <w:b w:val="false"/>
          <w:i w:val="false"/>
          <w:color w:val="000000"/>
          <w:sz w:val="28"/>
        </w:rPr>
        <w:t>
      Особое внимание необходимо уделить стимулированию инвестиций в повышение технологического уровня экономики, увеличение глубины переработки и экологичности производимой продукции, расширение производств нового технологического уклада, опережающее развитие которого необходимо для модернизации и конкурентоспособности экономики. Уже в ближайшее время неотъемлемой частью бизнес-процессов станет использование технологий больших данных, искусственного интеллекта и машинного обучения. Ключевое влияние на рынок труда окажет повсеместное внедрение автоматизированных и цифровых рабочих мест. Значительно увеличится ценность навыков и знаний в этих сферах. Необходимо стимулирование в государствах-членах научно-технического развития, нацеленного на создание "умной" национальной экономики на основе синтеза и дальнейшего развития достижений государств-членов в сфере науки с вовлечением в решение этой задачи частного капитала и средств национальных и наднациональных институтов развития.</w:t>
      </w:r>
    </w:p>
    <w:bookmarkEnd w:id="40"/>
    <w:bookmarkStart w:name="z56" w:id="41"/>
    <w:p>
      <w:pPr>
        <w:spacing w:after="0"/>
        <w:ind w:left="0"/>
        <w:jc w:val="both"/>
      </w:pPr>
      <w:r>
        <w:rPr>
          <w:rFonts w:ascii="Times New Roman"/>
          <w:b w:val="false"/>
          <w:i w:val="false"/>
          <w:color w:val="000000"/>
          <w:sz w:val="28"/>
        </w:rPr>
        <w:t>
      Важно сосредоточить внимание на создании конкурентоспособной продукции с высокой добавленной стоимостью и разработке совместных масштабных высокотехнологичных проектов - символов евразийской интеграции. Развитие экономической ситуации, в том числе перенос импортируемой инфляции во внутренние цены и усиление санкционного давления на ряд государств-членов, вновь ставит на повестку дня решение в Союзе задачи внутренней обеспеченности. Одним из важнейших направлений развития производственного потенциала должны стать высокотехнологичные отрасли и инновационные продукты, создаваемые и внедряемые в производство на взаимовыгодной кооперационной основе.</w:t>
      </w:r>
    </w:p>
    <w:bookmarkEnd w:id="41"/>
    <w:bookmarkStart w:name="z57" w:id="42"/>
    <w:p>
      <w:pPr>
        <w:spacing w:after="0"/>
        <w:ind w:left="0"/>
        <w:jc w:val="both"/>
      </w:pPr>
      <w:r>
        <w:rPr>
          <w:rFonts w:ascii="Times New Roman"/>
          <w:b w:val="false"/>
          <w:i w:val="false"/>
          <w:color w:val="000000"/>
          <w:sz w:val="28"/>
        </w:rPr>
        <w:t>
      Для реализации такой задачи представляется важным в единых технических регламентах Союза закладывать поэтапный переход к более высоким техническим нормам, обусловливающим производство конкурентоспособной, высокотехнологичной и инновационной промышленной продукции. Кроме того, особое внимание должно быть уделено системному развитию стандартизации. Активное вовлечение промышленных предприятий государств-членов в процессы стандартизации позволит заложить основы создания новой конкурентоспособной продукции, модернизации и технического перевооружения промышленности, повышения ее экспортного потенциала. Не менее значимым является повышение эффективности проведения на национальном уровне работ по оценке соответствия (преимущественно на серийно выпускаемую зарубежную продукцию) с целью недопущения необоснованной (без проведения всех установленных в Союзе обязательных процедур) выдачи органами по сертификации и испытательными лабораториями (аккредитованными в рамках национальных систем аккредитации) документов об оценке соответствия.</w:t>
      </w:r>
    </w:p>
    <w:bookmarkEnd w:id="42"/>
    <w:bookmarkStart w:name="z58" w:id="43"/>
    <w:p>
      <w:pPr>
        <w:spacing w:after="0"/>
        <w:ind w:left="0"/>
        <w:jc w:val="both"/>
      </w:pPr>
      <w:r>
        <w:rPr>
          <w:rFonts w:ascii="Times New Roman"/>
          <w:b w:val="false"/>
          <w:i w:val="false"/>
          <w:color w:val="000000"/>
          <w:sz w:val="28"/>
        </w:rPr>
        <w:t>
      Представляется важным учитывать, что переход к новому технологическому укладу сопровождается повышением требований к экологической чистоте производства, которая становится одним из ключевых факторов конкурентоспособности и одним из важнейших приоритетов для инвестирования.</w:t>
      </w:r>
    </w:p>
    <w:bookmarkEnd w:id="43"/>
    <w:bookmarkStart w:name="z59" w:id="44"/>
    <w:p>
      <w:pPr>
        <w:spacing w:after="0"/>
        <w:ind w:left="0"/>
        <w:jc w:val="both"/>
      </w:pPr>
      <w:r>
        <w:rPr>
          <w:rFonts w:ascii="Times New Roman"/>
          <w:b w:val="false"/>
          <w:i w:val="false"/>
          <w:color w:val="000000"/>
          <w:sz w:val="28"/>
        </w:rPr>
        <w:t>
      Необходимо наращивать объемы и устойчивость торговых потоков в Союзе и за его пределами, совершенствуя транспортную и логистическую инфраструктуру, устраняя препятствия во взаимной торговле и предупреждая создание новых трансграничных барьеров, развивая перспективные формы торговли и формируя новые экспортные возможности. Укрепление экономического и торгового сотрудничества Союза с третьими странами, международными организациями и интеграционными объединениями не только создаст прочную основу для поддержания стабильного спроса на продукцию государств-членов на внешних рынках, но и послужит их развитию в контексте системы глобальных экономических отношений интегрального мирохозяйственного уклада. В свою очередь, повышение емкости и обеспечение максимальной эффективности общего рынка Союза во многом будет зависеть от проведения системной работы по повышению доходов населения, а также последовательной реализации политики сближения и выравнивания уровней экономического развития государств-членов, что поможет государствам-членам и регионам с низким уровнем доходов полноформатно участвовать в общем рынке и повысить уровень благосостояния своих граждан.</w:t>
      </w:r>
    </w:p>
    <w:bookmarkEnd w:id="44"/>
    <w:bookmarkStart w:name="z60" w:id="45"/>
    <w:p>
      <w:pPr>
        <w:spacing w:after="0"/>
        <w:ind w:left="0"/>
        <w:jc w:val="both"/>
      </w:pPr>
      <w:r>
        <w:rPr>
          <w:rFonts w:ascii="Times New Roman"/>
          <w:b w:val="false"/>
          <w:i w:val="false"/>
          <w:color w:val="000000"/>
          <w:sz w:val="28"/>
        </w:rPr>
        <w:t>
      Новая экономическая реальность создает как риски, так и возможности для экономического развития Союза. Использование имеющегося в Союзе экономического, производственного и научно- технического потенциала позволяет обеспечить внутреннюю устойчивость экономик государств-членов и сближение государств- членов по уровню экономического развития, что в перспективе создаст условия для выхода на траекторию ежегодного прироста ВВП Союза темпами 4,5 - 5,5 процента, однако в изменяющихся условиях может потребоваться переоценка потенциальных темпов роста Союза.</w:t>
      </w:r>
    </w:p>
    <w:bookmarkEnd w:id="45"/>
    <w:bookmarkStart w:name="z61" w:id="46"/>
    <w:p>
      <w:pPr>
        <w:spacing w:after="0"/>
        <w:ind w:left="0"/>
        <w:jc w:val="both"/>
      </w:pPr>
      <w:r>
        <w:rPr>
          <w:rFonts w:ascii="Times New Roman"/>
          <w:b w:val="false"/>
          <w:i w:val="false"/>
          <w:color w:val="000000"/>
          <w:sz w:val="28"/>
        </w:rPr>
        <w:t>
      Важнейшие инструменты для достижения цели по выходу Союза на траекторию опережающего развития уже заложены в Стратегических направлениях. В предстоящий период государствам-членам совместно с Евразийской экономической комиссией особенно важно обеспечить их последовательную и скорейшую реализацию для перехода Союза на новый уровень экономического развития.</w:t>
      </w:r>
    </w:p>
    <w:bookmarkEnd w:id="46"/>
    <w:bookmarkStart w:name="z62" w:id="47"/>
    <w:p>
      <w:pPr>
        <w:spacing w:after="0"/>
        <w:ind w:left="0"/>
        <w:jc w:val="both"/>
      </w:pPr>
      <w:r>
        <w:rPr>
          <w:rFonts w:ascii="Times New Roman"/>
          <w:b w:val="false"/>
          <w:i w:val="false"/>
          <w:color w:val="000000"/>
          <w:sz w:val="28"/>
        </w:rPr>
        <w:t>
      Государствам-членам для решения поставленных задач рекомендуется направить усилия на реализацию следующих мер.</w:t>
      </w:r>
    </w:p>
    <w:bookmarkEnd w:id="47"/>
    <w:bookmarkStart w:name="z63" w:id="48"/>
    <w:p>
      <w:pPr>
        <w:spacing w:after="0"/>
        <w:ind w:left="0"/>
        <w:jc w:val="both"/>
      </w:pPr>
      <w:r>
        <w:rPr>
          <w:rFonts w:ascii="Times New Roman"/>
          <w:b w:val="false"/>
          <w:i w:val="false"/>
          <w:color w:val="000000"/>
          <w:sz w:val="28"/>
        </w:rPr>
        <w:t>
      Обеспечение макроэкономической стабильности и устойчивости к внешним вызовам, в том числе:</w:t>
      </w:r>
    </w:p>
    <w:bookmarkEnd w:id="48"/>
    <w:bookmarkStart w:name="z64" w:id="49"/>
    <w:p>
      <w:pPr>
        <w:spacing w:after="0"/>
        <w:ind w:left="0"/>
        <w:jc w:val="both"/>
      </w:pPr>
      <w:r>
        <w:rPr>
          <w:rFonts w:ascii="Times New Roman"/>
          <w:b w:val="false"/>
          <w:i w:val="false"/>
          <w:color w:val="000000"/>
          <w:sz w:val="28"/>
        </w:rPr>
        <w:t>
      выработка совместных мер государств-членов по обеспечению стабильного функционирования товарных, финансовых и валютных рынков;</w:t>
      </w:r>
    </w:p>
    <w:bookmarkEnd w:id="49"/>
    <w:bookmarkStart w:name="z65" w:id="50"/>
    <w:p>
      <w:pPr>
        <w:spacing w:after="0"/>
        <w:ind w:left="0"/>
        <w:jc w:val="both"/>
      </w:pPr>
      <w:r>
        <w:rPr>
          <w:rFonts w:ascii="Times New Roman"/>
          <w:b w:val="false"/>
          <w:i w:val="false"/>
          <w:color w:val="000000"/>
          <w:sz w:val="28"/>
        </w:rPr>
        <w:t>
      обеспечение стабильного функционирования инфраструктуры финансового рынка, включая национальные платежные системы, действующие на территориях государств-членов, а также каналы передачи финансовых сообщений;</w:t>
      </w:r>
    </w:p>
    <w:bookmarkEnd w:id="50"/>
    <w:bookmarkStart w:name="z66" w:id="51"/>
    <w:p>
      <w:pPr>
        <w:spacing w:after="0"/>
        <w:ind w:left="0"/>
        <w:jc w:val="both"/>
      </w:pPr>
      <w:r>
        <w:rPr>
          <w:rFonts w:ascii="Times New Roman"/>
          <w:b w:val="false"/>
          <w:i w:val="false"/>
          <w:color w:val="000000"/>
          <w:sz w:val="28"/>
        </w:rPr>
        <w:t>
      поддержание стабильности цен посредством реализации комплекса инструментов макроэкономического регулирования и проведения эффективной денежно-кредитной политики;</w:t>
      </w:r>
    </w:p>
    <w:bookmarkEnd w:id="51"/>
    <w:bookmarkStart w:name="z67" w:id="52"/>
    <w:p>
      <w:pPr>
        <w:spacing w:after="0"/>
        <w:ind w:left="0"/>
        <w:jc w:val="both"/>
      </w:pPr>
      <w:r>
        <w:rPr>
          <w:rFonts w:ascii="Times New Roman"/>
          <w:b w:val="false"/>
          <w:i w:val="false"/>
          <w:color w:val="000000"/>
          <w:sz w:val="28"/>
        </w:rPr>
        <w:t>
      повышение доверия к проводимой в государствах-членах антиинфляционной политике с целью снижения инфляционных ожиданий;</w:t>
      </w:r>
    </w:p>
    <w:bookmarkEnd w:id="52"/>
    <w:bookmarkStart w:name="z68" w:id="53"/>
    <w:p>
      <w:pPr>
        <w:spacing w:after="0"/>
        <w:ind w:left="0"/>
        <w:jc w:val="both"/>
      </w:pPr>
      <w:r>
        <w:rPr>
          <w:rFonts w:ascii="Times New Roman"/>
          <w:b w:val="false"/>
          <w:i w:val="false"/>
          <w:color w:val="000000"/>
          <w:sz w:val="28"/>
        </w:rPr>
        <w:t>
      проведение бюджетной консолидации, в том числе путем оптимизации бюджетных расходов и направления бюджетных средств в пользу расходов с наибольшим социально-экономическим эффектом;</w:t>
      </w:r>
    </w:p>
    <w:bookmarkEnd w:id="53"/>
    <w:bookmarkStart w:name="z69" w:id="54"/>
    <w:p>
      <w:pPr>
        <w:spacing w:after="0"/>
        <w:ind w:left="0"/>
        <w:jc w:val="both"/>
      </w:pPr>
      <w:r>
        <w:rPr>
          <w:rFonts w:ascii="Times New Roman"/>
          <w:b w:val="false"/>
          <w:i w:val="false"/>
          <w:color w:val="000000"/>
          <w:sz w:val="28"/>
        </w:rPr>
        <w:t>
      привлечение для финансирования бюджетных расходов средств в национальной валюте для минимизации валютных рисков;</w:t>
      </w:r>
    </w:p>
    <w:bookmarkEnd w:id="54"/>
    <w:bookmarkStart w:name="z70" w:id="55"/>
    <w:p>
      <w:pPr>
        <w:spacing w:after="0"/>
        <w:ind w:left="0"/>
        <w:jc w:val="both"/>
      </w:pPr>
      <w:r>
        <w:rPr>
          <w:rFonts w:ascii="Times New Roman"/>
          <w:b w:val="false"/>
          <w:i w:val="false"/>
          <w:color w:val="000000"/>
          <w:sz w:val="28"/>
        </w:rPr>
        <w:t>
      реализация мероприятий по поддержке занятости и сохранению рабочих мест;</w:t>
      </w:r>
    </w:p>
    <w:bookmarkEnd w:id="55"/>
    <w:bookmarkStart w:name="z71" w:id="56"/>
    <w:p>
      <w:pPr>
        <w:spacing w:after="0"/>
        <w:ind w:left="0"/>
        <w:jc w:val="both"/>
      </w:pPr>
      <w:r>
        <w:rPr>
          <w:rFonts w:ascii="Times New Roman"/>
          <w:b w:val="false"/>
          <w:i w:val="false"/>
          <w:color w:val="000000"/>
          <w:sz w:val="28"/>
        </w:rPr>
        <w:t>
      содействие развитию агропромышленного производства в целях устойчивого обеспечения населения продовольственными товарами;</w:t>
      </w:r>
    </w:p>
    <w:bookmarkEnd w:id="56"/>
    <w:bookmarkStart w:name="z72" w:id="57"/>
    <w:p>
      <w:pPr>
        <w:spacing w:after="0"/>
        <w:ind w:left="0"/>
        <w:jc w:val="both"/>
      </w:pPr>
      <w:r>
        <w:rPr>
          <w:rFonts w:ascii="Times New Roman"/>
          <w:b w:val="false"/>
          <w:i w:val="false"/>
          <w:color w:val="000000"/>
          <w:sz w:val="28"/>
        </w:rPr>
        <w:t>
      развитие конкурентной среды и обеспечение защиты конкуренции на трансграничных рынках.</w:t>
      </w:r>
    </w:p>
    <w:bookmarkEnd w:id="57"/>
    <w:bookmarkStart w:name="z73" w:id="58"/>
    <w:p>
      <w:pPr>
        <w:spacing w:after="0"/>
        <w:ind w:left="0"/>
        <w:jc w:val="both"/>
      </w:pPr>
      <w:r>
        <w:rPr>
          <w:rFonts w:ascii="Times New Roman"/>
          <w:b w:val="false"/>
          <w:i w:val="false"/>
          <w:color w:val="000000"/>
          <w:sz w:val="28"/>
        </w:rPr>
        <w:t>
      Формирование государствами-членами благоприятных условий для наращивания объемов инвестиций в реальный сектор национальных экономик, в том числе:</w:t>
      </w:r>
    </w:p>
    <w:bookmarkEnd w:id="58"/>
    <w:bookmarkStart w:name="z74" w:id="59"/>
    <w:p>
      <w:pPr>
        <w:spacing w:after="0"/>
        <w:ind w:left="0"/>
        <w:jc w:val="both"/>
      </w:pPr>
      <w:r>
        <w:rPr>
          <w:rFonts w:ascii="Times New Roman"/>
          <w:b w:val="false"/>
          <w:i w:val="false"/>
          <w:color w:val="000000"/>
          <w:sz w:val="28"/>
        </w:rPr>
        <w:t>
      обеспечение устойчивого функционирования и развития рынка капитала в целях использования его возможностей для финансирования инвестиций и инноваций в реальном секторе экономики;</w:t>
      </w:r>
    </w:p>
    <w:bookmarkEnd w:id="59"/>
    <w:bookmarkStart w:name="z75" w:id="60"/>
    <w:p>
      <w:pPr>
        <w:spacing w:after="0"/>
        <w:ind w:left="0"/>
        <w:jc w:val="both"/>
      </w:pPr>
      <w:r>
        <w:rPr>
          <w:rFonts w:ascii="Times New Roman"/>
          <w:b w:val="false"/>
          <w:i w:val="false"/>
          <w:color w:val="000000"/>
          <w:sz w:val="28"/>
        </w:rPr>
        <w:t>
      совершенствование инструментов институтов развития для финансирования проектов, имеющих интеграционный потенциал, в том числе кооперационных, направленных на модернизацию и (или) расширение существующего производства;</w:t>
      </w:r>
    </w:p>
    <w:bookmarkEnd w:id="60"/>
    <w:bookmarkStart w:name="z76" w:id="61"/>
    <w:p>
      <w:pPr>
        <w:spacing w:after="0"/>
        <w:ind w:left="0"/>
        <w:jc w:val="both"/>
      </w:pPr>
      <w:r>
        <w:rPr>
          <w:rFonts w:ascii="Times New Roman"/>
          <w:b w:val="false"/>
          <w:i w:val="false"/>
          <w:color w:val="000000"/>
          <w:sz w:val="28"/>
        </w:rPr>
        <w:t>
      разработка механизмов и программ обусловленного целевого финансирования для развития экономик государств-членов;</w:t>
      </w:r>
    </w:p>
    <w:bookmarkEnd w:id="61"/>
    <w:bookmarkStart w:name="z77" w:id="62"/>
    <w:p>
      <w:pPr>
        <w:spacing w:after="0"/>
        <w:ind w:left="0"/>
        <w:jc w:val="both"/>
      </w:pPr>
      <w:r>
        <w:rPr>
          <w:rFonts w:ascii="Times New Roman"/>
          <w:b w:val="false"/>
          <w:i w:val="false"/>
          <w:color w:val="000000"/>
          <w:sz w:val="28"/>
        </w:rPr>
        <w:t>
      развитие механизмов стимулирования инвестиций инструментами налоговой и регуляторной политик в виде применения налоговых льгот, вычетов, специальных инвестиционных контрактов, упрощенных процедур;</w:t>
      </w:r>
    </w:p>
    <w:bookmarkEnd w:id="62"/>
    <w:bookmarkStart w:name="z78" w:id="63"/>
    <w:p>
      <w:pPr>
        <w:spacing w:after="0"/>
        <w:ind w:left="0"/>
        <w:jc w:val="both"/>
      </w:pPr>
      <w:r>
        <w:rPr>
          <w:rFonts w:ascii="Times New Roman"/>
          <w:b w:val="false"/>
          <w:i w:val="false"/>
          <w:color w:val="000000"/>
          <w:sz w:val="28"/>
        </w:rPr>
        <w:t>
      разработка механизмов снижения рисков для розничных инвесторов и потребителей финансовых услуг, в том числе путем повышения финансовой грамотности и развития информационного взаимодействия между финансовыми организациями, операторами связи и органами государственной власти.</w:t>
      </w:r>
    </w:p>
    <w:bookmarkEnd w:id="63"/>
    <w:bookmarkStart w:name="z79" w:id="64"/>
    <w:p>
      <w:pPr>
        <w:spacing w:after="0"/>
        <w:ind w:left="0"/>
        <w:jc w:val="both"/>
      </w:pPr>
      <w:r>
        <w:rPr>
          <w:rFonts w:ascii="Times New Roman"/>
          <w:b w:val="false"/>
          <w:i w:val="false"/>
          <w:color w:val="000000"/>
          <w:sz w:val="28"/>
        </w:rPr>
        <w:t>
      Развитие научно-технологического и производственного потенциала Союза, в том числе:</w:t>
      </w:r>
    </w:p>
    <w:bookmarkEnd w:id="64"/>
    <w:bookmarkStart w:name="z80" w:id="65"/>
    <w:p>
      <w:pPr>
        <w:spacing w:after="0"/>
        <w:ind w:left="0"/>
        <w:jc w:val="both"/>
      </w:pPr>
      <w:r>
        <w:rPr>
          <w:rFonts w:ascii="Times New Roman"/>
          <w:b w:val="false"/>
          <w:i w:val="false"/>
          <w:color w:val="000000"/>
          <w:sz w:val="28"/>
        </w:rPr>
        <w:t>
      проведение совместных исследований государств-членов в сфере научно-технологического и инновационного развития на основе совместно определяемых приоритетов научно-технического прогресса;</w:t>
      </w:r>
    </w:p>
    <w:bookmarkEnd w:id="65"/>
    <w:bookmarkStart w:name="z81" w:id="66"/>
    <w:p>
      <w:pPr>
        <w:spacing w:after="0"/>
        <w:ind w:left="0"/>
        <w:jc w:val="both"/>
      </w:pPr>
      <w:r>
        <w:rPr>
          <w:rFonts w:ascii="Times New Roman"/>
          <w:b w:val="false"/>
          <w:i w:val="false"/>
          <w:color w:val="000000"/>
          <w:sz w:val="28"/>
        </w:rPr>
        <w:t>
      разработка стратегической программы научно-технического развития Союза, имеющей рамочный характер;</w:t>
      </w:r>
    </w:p>
    <w:bookmarkEnd w:id="66"/>
    <w:bookmarkStart w:name="z82" w:id="67"/>
    <w:p>
      <w:pPr>
        <w:spacing w:after="0"/>
        <w:ind w:left="0"/>
        <w:jc w:val="both"/>
      </w:pPr>
      <w:r>
        <w:rPr>
          <w:rFonts w:ascii="Times New Roman"/>
          <w:b w:val="false"/>
          <w:i w:val="false"/>
          <w:color w:val="000000"/>
          <w:sz w:val="28"/>
        </w:rPr>
        <w:t>
      определение критериев организации совместных научных исследований и инновационных проектов в сферах, представляющих взаимный интерес;</w:t>
      </w:r>
    </w:p>
    <w:bookmarkEnd w:id="67"/>
    <w:bookmarkStart w:name="z83" w:id="68"/>
    <w:p>
      <w:pPr>
        <w:spacing w:after="0"/>
        <w:ind w:left="0"/>
        <w:jc w:val="both"/>
      </w:pPr>
      <w:r>
        <w:rPr>
          <w:rFonts w:ascii="Times New Roman"/>
          <w:b w:val="false"/>
          <w:i w:val="false"/>
          <w:color w:val="000000"/>
          <w:sz w:val="28"/>
        </w:rPr>
        <w:t>
      реализация программы повышения квалификации исследователей (включая магистрантов, аспирантов) посредством взаимных стажировок в научных организациях и вузах государств-членов;</w:t>
      </w:r>
    </w:p>
    <w:bookmarkEnd w:id="68"/>
    <w:bookmarkStart w:name="z84" w:id="69"/>
    <w:p>
      <w:pPr>
        <w:spacing w:after="0"/>
        <w:ind w:left="0"/>
        <w:jc w:val="both"/>
      </w:pPr>
      <w:r>
        <w:rPr>
          <w:rFonts w:ascii="Times New Roman"/>
          <w:b w:val="false"/>
          <w:i w:val="false"/>
          <w:color w:val="000000"/>
          <w:sz w:val="28"/>
        </w:rPr>
        <w:t>
      формирование предложений по перспективным кооперационным проектам, включая проекты, направленные на решение задачи импортозамещения и локализации производства, а также по механизмам их реализации (в том числе в рамках цифровой повестки Союза);</w:t>
      </w:r>
    </w:p>
    <w:bookmarkEnd w:id="69"/>
    <w:bookmarkStart w:name="z85" w:id="70"/>
    <w:p>
      <w:pPr>
        <w:spacing w:after="0"/>
        <w:ind w:left="0"/>
        <w:jc w:val="both"/>
      </w:pPr>
      <w:r>
        <w:rPr>
          <w:rFonts w:ascii="Times New Roman"/>
          <w:b w:val="false"/>
          <w:i w:val="false"/>
          <w:color w:val="000000"/>
          <w:sz w:val="28"/>
        </w:rPr>
        <w:t>
      создание перечня совместных масштабных высокотехнологичных проектов, способных стать символами евразийской интеграции;</w:t>
      </w:r>
    </w:p>
    <w:bookmarkEnd w:id="70"/>
    <w:bookmarkStart w:name="z86" w:id="71"/>
    <w:p>
      <w:pPr>
        <w:spacing w:after="0"/>
        <w:ind w:left="0"/>
        <w:jc w:val="both"/>
      </w:pPr>
      <w:r>
        <w:rPr>
          <w:rFonts w:ascii="Times New Roman"/>
          <w:b w:val="false"/>
          <w:i w:val="false"/>
          <w:color w:val="000000"/>
          <w:sz w:val="28"/>
        </w:rPr>
        <w:t>
      подготовка и согласование положения о разработке, финансировании и реализации совместных проектов государств-членов;</w:t>
      </w:r>
    </w:p>
    <w:bookmarkEnd w:id="71"/>
    <w:bookmarkStart w:name="z87" w:id="72"/>
    <w:p>
      <w:pPr>
        <w:spacing w:after="0"/>
        <w:ind w:left="0"/>
        <w:jc w:val="both"/>
      </w:pPr>
      <w:r>
        <w:rPr>
          <w:rFonts w:ascii="Times New Roman"/>
          <w:b w:val="false"/>
          <w:i w:val="false"/>
          <w:color w:val="000000"/>
          <w:sz w:val="28"/>
        </w:rPr>
        <w:t>
      формирование предложений для поэтапного установления в технических регламентах Союза более высоких технических норм, обеспечивающих производство конкурентоспособной, высокотехнологичной и инновационной промышленной продукции;</w:t>
      </w:r>
    </w:p>
    <w:bookmarkEnd w:id="72"/>
    <w:bookmarkStart w:name="z88" w:id="73"/>
    <w:p>
      <w:pPr>
        <w:spacing w:after="0"/>
        <w:ind w:left="0"/>
        <w:jc w:val="both"/>
      </w:pPr>
      <w:r>
        <w:rPr>
          <w:rFonts w:ascii="Times New Roman"/>
          <w:b w:val="false"/>
          <w:i w:val="false"/>
          <w:color w:val="000000"/>
          <w:sz w:val="28"/>
        </w:rPr>
        <w:t>
      повышение эффективности проведения на национальном уровне работ по оценке соответствия (преимущественно на серийно выпускаемую зарубежную продукцию) с целью недопущения необоснованной (без проведения всех установленных в Союзе обязательных процедур) выдачи органами по сертификации и испытательными лабораториями (аккредитованными в рамках национальных систем аккредитации) документов об оценке соответствия;</w:t>
      </w:r>
    </w:p>
    <w:bookmarkEnd w:id="73"/>
    <w:bookmarkStart w:name="z89" w:id="74"/>
    <w:p>
      <w:pPr>
        <w:spacing w:after="0"/>
        <w:ind w:left="0"/>
        <w:jc w:val="both"/>
      </w:pPr>
      <w:r>
        <w:rPr>
          <w:rFonts w:ascii="Times New Roman"/>
          <w:b w:val="false"/>
          <w:i w:val="false"/>
          <w:color w:val="000000"/>
          <w:sz w:val="28"/>
        </w:rPr>
        <w:t>
      подготовка и согласование положений для перехода к проведению в Союзе согласованной политики в области стандартизации, направленной на достаточное обеспечение исполнения требований технических регламентов Союза;</w:t>
      </w:r>
    </w:p>
    <w:bookmarkEnd w:id="74"/>
    <w:bookmarkStart w:name="z90" w:id="75"/>
    <w:p>
      <w:pPr>
        <w:spacing w:after="0"/>
        <w:ind w:left="0"/>
        <w:jc w:val="both"/>
      </w:pPr>
      <w:r>
        <w:rPr>
          <w:rFonts w:ascii="Times New Roman"/>
          <w:b w:val="false"/>
          <w:i w:val="false"/>
          <w:color w:val="000000"/>
          <w:sz w:val="28"/>
        </w:rPr>
        <w:t>
      разработка и реализация межгосударственных программ;</w:t>
      </w:r>
    </w:p>
    <w:bookmarkEnd w:id="75"/>
    <w:bookmarkStart w:name="z91" w:id="76"/>
    <w:p>
      <w:pPr>
        <w:spacing w:after="0"/>
        <w:ind w:left="0"/>
        <w:jc w:val="both"/>
      </w:pPr>
      <w:r>
        <w:rPr>
          <w:rFonts w:ascii="Times New Roman"/>
          <w:b w:val="false"/>
          <w:i w:val="false"/>
          <w:color w:val="000000"/>
          <w:sz w:val="28"/>
        </w:rPr>
        <w:t>
      создание постоянно действующей площадки для обсуждения тенденций и прогнозов развития технологий по ключевым направлениям;</w:t>
      </w:r>
    </w:p>
    <w:bookmarkEnd w:id="76"/>
    <w:bookmarkStart w:name="z92" w:id="77"/>
    <w:p>
      <w:pPr>
        <w:spacing w:after="0"/>
        <w:ind w:left="0"/>
        <w:jc w:val="both"/>
      </w:pPr>
      <w:r>
        <w:rPr>
          <w:rFonts w:ascii="Times New Roman"/>
          <w:b w:val="false"/>
          <w:i w:val="false"/>
          <w:color w:val="000000"/>
          <w:sz w:val="28"/>
        </w:rPr>
        <w:t>
      реализация в Союзе принципов устойчивого развития и "зеленой" экономики, в том числе разработка концепции внедрения принципов "зеленой" экономики в Союзе.</w:t>
      </w:r>
    </w:p>
    <w:bookmarkEnd w:id="77"/>
    <w:bookmarkStart w:name="z93" w:id="78"/>
    <w:p>
      <w:pPr>
        <w:spacing w:after="0"/>
        <w:ind w:left="0"/>
        <w:jc w:val="both"/>
      </w:pPr>
      <w:r>
        <w:rPr>
          <w:rFonts w:ascii="Times New Roman"/>
          <w:b w:val="false"/>
          <w:i w:val="false"/>
          <w:color w:val="000000"/>
          <w:sz w:val="28"/>
        </w:rPr>
        <w:t>
      Расширение возможностей внутреннего рынка Союза и укрепление взаимовыгодных отношений с третьими странами, в том числе:</w:t>
      </w:r>
    </w:p>
    <w:bookmarkEnd w:id="78"/>
    <w:bookmarkStart w:name="z94" w:id="79"/>
    <w:p>
      <w:pPr>
        <w:spacing w:after="0"/>
        <w:ind w:left="0"/>
        <w:jc w:val="both"/>
      </w:pPr>
      <w:r>
        <w:rPr>
          <w:rFonts w:ascii="Times New Roman"/>
          <w:b w:val="false"/>
          <w:i w:val="false"/>
          <w:color w:val="000000"/>
          <w:sz w:val="28"/>
        </w:rPr>
        <w:t>
      разработка и принятие государствами-членами комплексных мер по повышению доходов населения;</w:t>
      </w:r>
    </w:p>
    <w:bookmarkEnd w:id="79"/>
    <w:bookmarkStart w:name="z95" w:id="80"/>
    <w:p>
      <w:pPr>
        <w:spacing w:after="0"/>
        <w:ind w:left="0"/>
        <w:jc w:val="both"/>
      </w:pPr>
      <w:r>
        <w:rPr>
          <w:rFonts w:ascii="Times New Roman"/>
          <w:b w:val="false"/>
          <w:i w:val="false"/>
          <w:color w:val="000000"/>
          <w:sz w:val="28"/>
        </w:rPr>
        <w:t>
      устранение барьеров, сокращение изъятий и ограничений при перемещении товаров между государствами-членами, а также недопущение возникновения новых препятствий на внутреннем рынке Союза;</w:t>
      </w:r>
    </w:p>
    <w:bookmarkEnd w:id="80"/>
    <w:bookmarkStart w:name="z96" w:id="81"/>
    <w:p>
      <w:pPr>
        <w:spacing w:after="0"/>
        <w:ind w:left="0"/>
        <w:jc w:val="both"/>
      </w:pPr>
      <w:r>
        <w:rPr>
          <w:rFonts w:ascii="Times New Roman"/>
          <w:b w:val="false"/>
          <w:i w:val="false"/>
          <w:color w:val="000000"/>
          <w:sz w:val="28"/>
        </w:rPr>
        <w:t>
      разработка предложений по формированию общего биржевого рынка товаров в рамках Союза;</w:t>
      </w:r>
    </w:p>
    <w:bookmarkEnd w:id="81"/>
    <w:bookmarkStart w:name="z97" w:id="82"/>
    <w:p>
      <w:pPr>
        <w:spacing w:after="0"/>
        <w:ind w:left="0"/>
        <w:jc w:val="both"/>
      </w:pPr>
      <w:r>
        <w:rPr>
          <w:rFonts w:ascii="Times New Roman"/>
          <w:b w:val="false"/>
          <w:i w:val="false"/>
          <w:color w:val="000000"/>
          <w:sz w:val="28"/>
        </w:rPr>
        <w:t>
      продолжение работы по формированию общих рынков энергетических ресурсов;</w:t>
      </w:r>
    </w:p>
    <w:bookmarkEnd w:id="82"/>
    <w:bookmarkStart w:name="z98" w:id="83"/>
    <w:p>
      <w:pPr>
        <w:spacing w:after="0"/>
        <w:ind w:left="0"/>
        <w:jc w:val="both"/>
      </w:pPr>
      <w:r>
        <w:rPr>
          <w:rFonts w:ascii="Times New Roman"/>
          <w:b w:val="false"/>
          <w:i w:val="false"/>
          <w:color w:val="000000"/>
          <w:sz w:val="28"/>
        </w:rPr>
        <w:t>
      реализация мероприятий, направленных на эффективное использование транзитного потенциала и координацию развития транспортной инфраструктуры евразийских транспортных коридоров;</w:t>
      </w:r>
    </w:p>
    <w:bookmarkEnd w:id="83"/>
    <w:bookmarkStart w:name="z99" w:id="84"/>
    <w:p>
      <w:pPr>
        <w:spacing w:after="0"/>
        <w:ind w:left="0"/>
        <w:jc w:val="both"/>
      </w:pPr>
      <w:r>
        <w:rPr>
          <w:rFonts w:ascii="Times New Roman"/>
          <w:b w:val="false"/>
          <w:i w:val="false"/>
          <w:color w:val="000000"/>
          <w:sz w:val="28"/>
        </w:rPr>
        <w:t>
      разработка предложений по согласованному развитию испытательно-измерительных комплексов для проведения исследований (испытаний) и измерений продукции;</w:t>
      </w:r>
    </w:p>
    <w:bookmarkEnd w:id="84"/>
    <w:bookmarkStart w:name="z100" w:id="85"/>
    <w:p>
      <w:pPr>
        <w:spacing w:after="0"/>
        <w:ind w:left="0"/>
        <w:jc w:val="both"/>
      </w:pPr>
      <w:r>
        <w:rPr>
          <w:rFonts w:ascii="Times New Roman"/>
          <w:b w:val="false"/>
          <w:i w:val="false"/>
          <w:color w:val="000000"/>
          <w:sz w:val="28"/>
        </w:rPr>
        <w:t>
      внедрение перспективных международных и региональных стандартов в целях повышения научно-технического уровня продукции и промышленных предприятий для расширения возможностей экспорта продукции в третьи страны;</w:t>
      </w:r>
    </w:p>
    <w:bookmarkEnd w:id="85"/>
    <w:bookmarkStart w:name="z101" w:id="86"/>
    <w:p>
      <w:pPr>
        <w:spacing w:after="0"/>
        <w:ind w:left="0"/>
        <w:jc w:val="both"/>
      </w:pPr>
      <w:r>
        <w:rPr>
          <w:rFonts w:ascii="Times New Roman"/>
          <w:b w:val="false"/>
          <w:i w:val="false"/>
          <w:color w:val="000000"/>
          <w:sz w:val="28"/>
        </w:rPr>
        <w:t>
      формирование экосистемы цифровых транспортных коридоров Союза;</w:t>
      </w:r>
    </w:p>
    <w:bookmarkEnd w:id="86"/>
    <w:bookmarkStart w:name="z102" w:id="87"/>
    <w:p>
      <w:pPr>
        <w:spacing w:after="0"/>
        <w:ind w:left="0"/>
        <w:jc w:val="both"/>
      </w:pPr>
      <w:r>
        <w:rPr>
          <w:rFonts w:ascii="Times New Roman"/>
          <w:b w:val="false"/>
          <w:i w:val="false"/>
          <w:color w:val="000000"/>
          <w:sz w:val="28"/>
        </w:rPr>
        <w:t>
      проработка вопроса формирования оптово-распределительных центров продовольствия для стимулирования взаимной и внешней торговли государств-членов;</w:t>
      </w:r>
    </w:p>
    <w:bookmarkEnd w:id="87"/>
    <w:bookmarkStart w:name="z103" w:id="88"/>
    <w:p>
      <w:pPr>
        <w:spacing w:after="0"/>
        <w:ind w:left="0"/>
        <w:jc w:val="both"/>
      </w:pPr>
      <w:r>
        <w:rPr>
          <w:rFonts w:ascii="Times New Roman"/>
          <w:b w:val="false"/>
          <w:i w:val="false"/>
          <w:color w:val="000000"/>
          <w:sz w:val="28"/>
        </w:rPr>
        <w:t>
      дальнейшее повышение мобильности трудовых ресурсов в рамках Союза;</w:t>
      </w:r>
    </w:p>
    <w:bookmarkEnd w:id="88"/>
    <w:bookmarkStart w:name="z104" w:id="89"/>
    <w:p>
      <w:pPr>
        <w:spacing w:after="0"/>
        <w:ind w:left="0"/>
        <w:jc w:val="both"/>
      </w:pPr>
      <w:r>
        <w:rPr>
          <w:rFonts w:ascii="Times New Roman"/>
          <w:b w:val="false"/>
          <w:i w:val="false"/>
          <w:color w:val="000000"/>
          <w:sz w:val="28"/>
        </w:rPr>
        <w:t>
      развитие электронной торговли товарами;</w:t>
      </w:r>
    </w:p>
    <w:bookmarkEnd w:id="89"/>
    <w:bookmarkStart w:name="z105" w:id="90"/>
    <w:p>
      <w:pPr>
        <w:spacing w:after="0"/>
        <w:ind w:left="0"/>
        <w:jc w:val="both"/>
      </w:pPr>
      <w:r>
        <w:rPr>
          <w:rFonts w:ascii="Times New Roman"/>
          <w:b w:val="false"/>
          <w:i w:val="false"/>
          <w:color w:val="000000"/>
          <w:sz w:val="28"/>
        </w:rPr>
        <w:t>
      выработка комплекса мер по полноценной цифровизации государственных закупок в государствах-членах;</w:t>
      </w:r>
    </w:p>
    <w:bookmarkEnd w:id="90"/>
    <w:bookmarkStart w:name="z106" w:id="91"/>
    <w:p>
      <w:pPr>
        <w:spacing w:after="0"/>
        <w:ind w:left="0"/>
        <w:jc w:val="both"/>
      </w:pPr>
      <w:r>
        <w:rPr>
          <w:rFonts w:ascii="Times New Roman"/>
          <w:b w:val="false"/>
          <w:i w:val="false"/>
          <w:color w:val="000000"/>
          <w:sz w:val="28"/>
        </w:rPr>
        <w:t>
      реализация совместных мер по развитию экспорта;</w:t>
      </w:r>
    </w:p>
    <w:bookmarkEnd w:id="91"/>
    <w:bookmarkStart w:name="z107" w:id="92"/>
    <w:p>
      <w:pPr>
        <w:spacing w:after="0"/>
        <w:ind w:left="0"/>
        <w:jc w:val="both"/>
      </w:pPr>
      <w:r>
        <w:rPr>
          <w:rFonts w:ascii="Times New Roman"/>
          <w:b w:val="false"/>
          <w:i w:val="false"/>
          <w:color w:val="000000"/>
          <w:sz w:val="28"/>
        </w:rPr>
        <w:t>
      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"Один пояс - один путь", укрепления взаимодействия с Шанхайской организацией сотрудничества, Ассоциацией государств Юго-Восточной Азии, установления диалога с Европейским союзом и другими многосторонними объединениями и государствами Азии и Европы;</w:t>
      </w:r>
    </w:p>
    <w:bookmarkEnd w:id="92"/>
    <w:bookmarkStart w:name="z108" w:id="93"/>
    <w:p>
      <w:pPr>
        <w:spacing w:after="0"/>
        <w:ind w:left="0"/>
        <w:jc w:val="both"/>
      </w:pPr>
      <w:r>
        <w:rPr>
          <w:rFonts w:ascii="Times New Roman"/>
          <w:b w:val="false"/>
          <w:i w:val="false"/>
          <w:color w:val="000000"/>
          <w:sz w:val="28"/>
        </w:rPr>
        <w:t>
      развитие сотрудничества с перспективными с точки зрения экономических интересов государств-членов международными организациями, региональными интеграционными объединениями и третьими странами, в том числе путем заключения торговых соглашений и меморандумов о сотрудничестве;</w:t>
      </w:r>
    </w:p>
    <w:bookmarkEnd w:id="93"/>
    <w:bookmarkStart w:name="z109" w:id="94"/>
    <w:p>
      <w:pPr>
        <w:spacing w:after="0"/>
        <w:ind w:left="0"/>
        <w:jc w:val="both"/>
      </w:pPr>
      <w:r>
        <w:rPr>
          <w:rFonts w:ascii="Times New Roman"/>
          <w:b w:val="false"/>
          <w:i w:val="false"/>
          <w:color w:val="000000"/>
          <w:sz w:val="28"/>
        </w:rPr>
        <w:t>
      интенсификация бизнес-диалога с деловыми кругами третьих стран по линии Делового совета Евразийского экономического союза.</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