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53976" w14:textId="d7539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прогнозах развития агропромышленных комплексов государств – членов Евразийского экономического союза на среднесрочный период 2021 – 2025 годов и на долгосрочный период 2021 – 2030 годов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9 ноября 2021 года № 27.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с даты опубликования настоящей Рекомендации на официальном сайте Евразийского экономического союза при разработке прогнозных балансов спроса и предложения по сельскохозяйственной продукции, продовольствию, льноволокну, кожевенному сырью, хлопковолокну и шерсти руководствоваться прогнозами развития агропромышленных комплексов государств – членов Евразийского экономического союза на среднесрочный период 2021 – 2025 годов и на долгосрочный период 2021 – 2030 годов, размещенными на официальном сайте Евразийского экономического союза по адресу: http://www.eurasiancommission.org/ru/act/prom_i_agroprom/dep_agroprom/monitoring/Pages/default.aspx.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