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1e91" w14:textId="7861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расчете оценки исполнения государством – членом Евразийского экономического союза положений Соглашения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 в ходе проведения первичных обзорных визитов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7 сентября 2021 года № 18.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мая 2021 г. № 51 "О заключении о подтверждении исполнения государством – членом Евразийского экономического союза положений Соглашения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года",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проведении оценки исполнения государством-членом положений Соглашения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 применять расчет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 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г. № 18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</w:t>
      </w:r>
      <w:r>
        <w:br/>
      </w:r>
      <w:r>
        <w:rPr>
          <w:rFonts w:ascii="Times New Roman"/>
          <w:b/>
          <w:i w:val="false"/>
          <w:color w:val="000000"/>
        </w:rPr>
        <w:t>оценки исполнения государством – членом Евразийского экономического союза положений Соглашения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 в ходе проведения первичных обзорных визитов</w:t>
      </w:r>
    </w:p>
    <w:bookmarkEnd w:id="2"/>
    <w:p>
      <w:pPr>
        <w:spacing w:after="0"/>
        <w:ind w:left="0"/>
        <w:jc w:val="both"/>
      </w:pPr>
      <w:bookmarkStart w:name="z9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 Расчет оценки исполнения государством – членом Евразийского экономического союза (далее – государство-член) положений Соглашения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 (далее – Соглашение)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проведения первичных обзорных визитов рекомендуется осуществлять по следующей формуле: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19685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 – оценка соблюдения критерия;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 – вес критерия;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 – номер критерия;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 консолидированное заключение от имени государства-члена.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 расчете итоговой оценки исполнения государством-членом положений Соглашения в рамках подготовки консолидированных заключений государств-членов в случае невозможности оценки государства-члена по отдельному критерию оценка и вес такого критерия исключаются из расчетной формулы.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Положительное заключение о подтверждении исполнения государством-членом положений Соглашения выдается, если: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1430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n – 2-значный буквенный код государства-члена, в отношении которого проводится оценка исполнения положений Соглашения, в соответствии с классификатором стран мира.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