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ae36" w14:textId="674a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июня 2021 года № 10.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в соответствии с пунктом 110 Общих требований безопасности и эффективности медицинских изделий, требований к их маркировке и эксплуатационной документации на них,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27,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применять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4 сентября 2017 г. № 17), с учетом изменений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г. № 10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требованиям к их маркировке и эксплуатационной документации на них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I: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5, 28, 35, 45, 57, 80, 97, 129 и 130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58236-2020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эластичные компрессионные. Общие технические требования. Методы испытаний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10993-3-2018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10993-3:2014,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Оценка биологического действия медицинских изделий.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Исследования генотоксичности, канцерогенности и токсического действия на репродуктивную функцию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11135-2017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11135:2014,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Этиленоксид. Требования к разработке, валидации и текущему управлению процессом стерилизации медицинских изделий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13485-2017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13485:2016,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Системы менеджмента качества. Требования для целей регулирования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14644-1-2017 (ISO 14644-1:2015, IDT)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помещения и связанные с ними контролируемые среды.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Классификация чистоты воздуха по концентрации частиц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приложение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14630-2017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14630:2012,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хирургические неактивные. Общие требования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4, 5, 7, 8, 10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8,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22675-2019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22675:2016,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Протезирование. Испытание голеностопных узлов и узлов стоп протезов нижних конечностей. Требования и методы испытаний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5 10, 15, 16, 17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10, 15, 16,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10, 15, 16, 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60601-2-47-2017 (IEC 60601-2-47:2012,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2-47. Частные требования безопасности с учетом основных функциональных характеристик к амбулаторным электрокардиографическим системам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60601-2-49-2018 (IEC 60601-2-49:2011,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2-49. Частные требования безопасности с учетом основных функциональных характеристик к многофункциональным мониторам пациента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156 – 163 следующего содержания: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31621-2012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для хирургии. Замещение сустава тотальным эндопротезом. Определение долговечности работы узла трения эндопротеза тазобедренного сустава методом оценки крутящего момента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– 5.9,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6, 7,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60601-2-8-2017 (IEC 60601-2-8:2010,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2-8. Частные требования безопасности с учетом основных функциональных характеристик к аппаратам рентгеновским терапевтическим, работающим в диапазоне анодного напряжения от 10 кВ до 1МВ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60601-2-10-2019 (IEC 60601-2-10:2016,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2-10. Частные требования безопасности с учетом основных функциональных характеристик к стимуляторам нервов и мышц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60601-2-24-2017 (IEC 60601-2-24:2012,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 электрические. Часть 2-24. Частные требования безопасности с учетом основных функциональных характеристик к насосам и контроллерам инфузионным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201.17, 202, 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201.7, 201.12, 201.16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10993-10-2011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10993-10:2002,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Оценка биологического действия медицинских изделий. Часть 10. Исследования раздражающего и сенсибилизирующего действия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14708-1-2012 (ISO 14708-1:2000,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хирургические. Активные имплантируемые медицинские изделия. Часть 1. Общие требования к безопасности, маркировке и информации, предоставляемой изготовителем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 – 12, 14 – 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 10 – 12,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5-7, 10 – 12,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7, 10 – 12,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8, 9, 11, 13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8, 9, 11, 13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5832-5-2010 (ISO 5832-5:2005, IDT)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для хирургии. Металлические материалы. Часть 5. Сплав кобальт-хром-вольфрам-никелевый деформируемый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6232-2020 (свидетельство № 1208/2020 об аттестации МВИ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29.01.2020)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концентрация ацетальдегида и окиси этилена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водных вытяжках из изделий медицинского назначения, стерилизованных окисью этилена. Методика выполнения измерений методом газовой хроматографии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позиции 3, 4, 20, 24, 32 и 63 исключить.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Позиции 5, 9, 14, 19 и 31 раздела II изложить в следующей редакции: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11135-2017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11135:2014, IDT)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 медицинской продукции. Этиленоксид. Требования к разработке, валидации и текущему управлению процессом стерилизации медицинских изделий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13485-2017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13485:2016,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Системы менеджмента качества. Требования для целей регулирования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5.1, 5.3 – 5.6, 6.4, 7.1 – 7.6, 8.2.2, 8.2.3, 8.2.4, 8.3, 8.4, 8.5.1 – 8.5.3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14644-1-2017 (ISO 14644-1:2015, IDT)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помещения и связанные с ними контролируемые среды. Часть 1. Классификация чистоты воздуха по концентрации частиц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приложение 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13612-2010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13612:2002,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функциональных характеристик медицинских изделий для диагностики in vitro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4.2, 4.3, 4.4, 4.5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4.2, 4.3, 4.4, 4.5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15197-2015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15197:2013, IDT)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диагностические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vitro. Требования к системам мониторного наблюдения за концентрацией глюкозы в крови для самоконтроля при лечении сахарного диабета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01.08.2021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4.3, 4.4, 6.5, 7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4.3, 4.4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4.3, 5.2 – 5.6, 5.8,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– 5.12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5.3, 5.6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4.4, 7, 8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4.4, 7, 8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4.4, 7, 8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