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e23f" w14:textId="977e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рекомендациях по разработке программ государств – членов Евразийского экономического союза в области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 марта 2021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пунктов 4.12.5 и 4.12.7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в соответствии с пунктом 6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закрепленные в Декларации о дальнейшем развитии интеграционных процессов в рамках Евразийского экономического союза от 6 декабря 2018 года ключевые направления развития евразийской интеграции в части совершенствования рыночных институтов с учетом наилучших международных и национальных практик, повышения эффективности функционирования рынков товаров и услуг,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гарантий качества и безопасности товаров (работ, услуг), а также информированности и надлежащей защиты прав потребителей,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формирования для граждан государств – членов Евразийского экономического союза (далее соответственно – государства-члены, Союз) равных условий обеспечения защиты прав и законных интересов потребителей,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при формировании согласованной политики в сфере защиты прав потребителей, а также при разработке нормативных правовых актов государств-членов в сфере защиты прав потребителей и программных документов, касающихся ее реализации, применять при необходимости Методические рекомендации по разработке программ государств – членов Евразийского экономического союза в области защиты прав потребителей, размещенные на официальном сайте Союза по адресу: http://eec.eaeunion.org/ru/act/texnreg/depsanmer/regulation/ Documents/Рекомендации.pdf.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