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f4f5" w14:textId="ab3f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принципах и критериях добросовестной деловой практики в отношении потребителей в сфере розничной торговли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12 января 2021 года № 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сфере защиты прав потребителей (приложение № 13 к Договору о Евразийском экономическом союзе от 29 мая 2014 года),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закрепленные в Декларации о дальнейшем развитии интеграционных процессов в рамках Евразийского экономического союза от 6 декабря 2018 г. ключевые направления развития евразийской интеграции в части совершенствования рыночных институтов с учетом наилучших международных и национальных практик, повышения эффективности функционирования рынков товаров, исходя из необходимости обеспечения гарантий качества, безопасности обращаемых товаров, информированности и надлежащей защиты прав потребителей,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 – членам Евразийского экономического союза с даты опубликования настоящей Рекомендации на официальном сайте Евразийского экономического союза руководствоваться принципами и критериями добросовестной деловой практики в отношении потребителей в сфере розничной торговли товарами, которые размещены на официальном сайте Союза по адресу: http://eec.eaeunion.org/ru/act/texnreg/depsanmer/regulation/Documents/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Принципы_и_критерии_добросовестной_ деловой_практики.pdf.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