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f6e0" w14:textId="729f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плане первоочередных мероприятий по цифровизации грузовых железнодорожных перевозок в интересах развития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w:t>
      </w:r>
    </w:p>
    <w:p>
      <w:pPr>
        <w:spacing w:after="0"/>
        <w:ind w:left="0"/>
        <w:jc w:val="both"/>
      </w:pPr>
      <w:r>
        <w:rPr>
          <w:rFonts w:ascii="Times New Roman"/>
          <w:b w:val="false"/>
          <w:i w:val="false"/>
          <w:color w:val="000000"/>
          <w:sz w:val="28"/>
        </w:rPr>
        <w:t>Распоряжение Евразийского Межправительственного Совета от 20 августа 2021 года № 17</w:t>
      </w:r>
    </w:p>
    <w:p>
      <w:pPr>
        <w:spacing w:after="0"/>
        <w:ind w:left="0"/>
        <w:jc w:val="both"/>
      </w:pPr>
      <w:bookmarkStart w:name="z4" w:id="0"/>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первоочередных мероприятий по цифровизации грузовых железнодорожных перевозок в интересах развития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 (далее - план мероприятий). </w:t>
      </w:r>
    </w:p>
    <w:bookmarkEnd w:id="0"/>
    <w:bookmarkStart w:name="z5" w:id="1"/>
    <w:p>
      <w:pPr>
        <w:spacing w:after="0"/>
        <w:ind w:left="0"/>
        <w:jc w:val="both"/>
      </w:pPr>
      <w:r>
        <w:rPr>
          <w:rFonts w:ascii="Times New Roman"/>
          <w:b w:val="false"/>
          <w:i w:val="false"/>
          <w:color w:val="000000"/>
          <w:sz w:val="28"/>
        </w:rPr>
        <w:t>
      2. Правительствам государств - членов Евразийского экономического союза принять необходимые меры для своевременного исполнения плана мероприятий.</w:t>
      </w:r>
    </w:p>
    <w:bookmarkEnd w:id="1"/>
    <w:bookmarkStart w:name="z6" w:id="2"/>
    <w:p>
      <w:pPr>
        <w:spacing w:after="0"/>
        <w:ind w:left="0"/>
        <w:jc w:val="both"/>
      </w:pPr>
      <w:r>
        <w:rPr>
          <w:rFonts w:ascii="Times New Roman"/>
          <w:b w:val="false"/>
          <w:i w:val="false"/>
          <w:color w:val="000000"/>
          <w:sz w:val="28"/>
        </w:rPr>
        <w:t xml:space="preserve">
      3. Евразийской экономической комиссии обеспечить проведение мониторинга исполнения плана мероприятий и проинформировать о его результатах Евразийский межправительственный совет в первом полугодии 2023 г. </w:t>
      </w:r>
    </w:p>
    <w:bookmarkEnd w:id="2"/>
    <w:bookmarkStart w:name="z7" w:id="3"/>
    <w:p>
      <w:pPr>
        <w:spacing w:after="0"/>
        <w:ind w:left="0"/>
        <w:jc w:val="both"/>
      </w:pPr>
      <w:r>
        <w:rPr>
          <w:rFonts w:ascii="Times New Roman"/>
          <w:b w:val="false"/>
          <w:i w:val="false"/>
          <w:color w:val="000000"/>
          <w:sz w:val="28"/>
        </w:rPr>
        <w:t>
      4. Настоящее распоряжение вступает в силу с даты его подписания.</w:t>
      </w:r>
    </w:p>
    <w:bookmarkEnd w:id="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Члены Евразийского межправительственного совета: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Российской 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распоряжением Евразийского </w:t>
            </w:r>
            <w:r>
              <w:br/>
            </w:r>
            <w:r>
              <w:rPr>
                <w:rFonts w:ascii="Times New Roman"/>
                <w:b w:val="false"/>
                <w:i w:val="false"/>
                <w:color w:val="000000"/>
                <w:sz w:val="20"/>
              </w:rPr>
              <w:t xml:space="preserve">межправительственного совета </w:t>
            </w:r>
            <w:r>
              <w:br/>
            </w:r>
            <w:r>
              <w:rPr>
                <w:rFonts w:ascii="Times New Roman"/>
                <w:b w:val="false"/>
                <w:i w:val="false"/>
                <w:color w:val="000000"/>
                <w:sz w:val="20"/>
              </w:rPr>
              <w:t xml:space="preserve">от 20 августа 2021 г. № 17 </w:t>
            </w:r>
          </w:p>
        </w:tc>
      </w:tr>
    </w:tbl>
    <w:bookmarkStart w:name="z10" w:id="5"/>
    <w:p>
      <w:pPr>
        <w:spacing w:after="0"/>
        <w:ind w:left="0"/>
        <w:jc w:val="left"/>
      </w:pPr>
      <w:r>
        <w:rPr>
          <w:rFonts w:ascii="Times New Roman"/>
          <w:b/>
          <w:i w:val="false"/>
          <w:color w:val="000000"/>
        </w:rPr>
        <w:t xml:space="preserve"> ПЛАН</w:t>
      </w:r>
      <w:r>
        <w:br/>
      </w:r>
      <w:r>
        <w:rPr>
          <w:rFonts w:ascii="Times New Roman"/>
          <w:b/>
          <w:i w:val="false"/>
          <w:color w:val="000000"/>
        </w:rPr>
        <w:t xml:space="preserve">первоочередных мероприятий по цифровизации грузовых железнодорожных перевозок в интересах развития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bl>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полноты и качества обмена электронными данными, содержащимися в перевозочных и товаросопроводительных документах, между железнодорожными перевозчиками государств - членов Евразийского экономического союза (далее - государства-члены)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формирования нормативной базы (в том числе заключение соглашений об обмене электронными данными) между железнодорожными перевозчиками государств-членов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 ГО "БЖД", АО "НК "КТЖ", ГП "НК "КТЖ", ОАО "РЖД", уполномоченные органы государств-членов (далее - уполномоченные органы) (при необходимости)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обмена электронными сообщениями между железнодорожными перевозчиками государств-членов, содержащими следующие перевозочные и товаросопроводительные документы: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электронными сообщениями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 ГО "БЖД", АО "НК "КТЖ", ГП "НК "КТЖ", ОАО "РЖД"</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накладная СМГС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2021 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поездная передаточная ведомость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2021 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накладная ЦИМ/СМГС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лист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полноты и качества обмена электронными данными до уровня, позволяющего осуществить переход к перевозкам по электронным документам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 далее - ежегодно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ЗАО "ЮКЖД", ГО "БЖД", АО "НК "КТЖ", ГП "НК "КТЖ", ОАО "РЖД"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переходу на юридически значимый электронный документооборот при оформлении международных перевозок в части перевозочных и товаросопроводительных документов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операторов удостоверяющих центров, доверенных третьих сторон и наделение их необходимыми полномочиями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2021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УЦ РА, ЦЗИ БЖД, НЦЭУ, НИТ РК, УЦ КР, ОАО "НИИАС", НУЦ РФ</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между железнодорожными перевозчиками государств-членов типа электронной цифровой подписи, применяемой при оформлении международных перевозок, по итогам завершения работ, предусмотренных подпунктом 2.1 настоящего плана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2021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 ГО "БЖД", АО "НК "КТЖ", ГП "НК "КТЖ", ОАО "РЖД", уполномоченные органы УЦ РА, ЦЗИ БЖД, НЦЭУ, НИТ РК, УЦ КР, ОАО "НИИАС"</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xml:space="preserve">
Формирование (завершение формирования) нормативной базы, регулирующей применение электронной цифровой подписи на двусторонней основе с учетом требований законодательства государств-членов об электронной цифровой подписи. </w:t>
            </w:r>
          </w:p>
          <w:bookmarkEnd w:id="6"/>
          <w:p>
            <w:pPr>
              <w:spacing w:after="20"/>
              <w:ind w:left="20"/>
              <w:jc w:val="both"/>
            </w:pPr>
            <w:r>
              <w:rPr>
                <w:rFonts w:ascii="Times New Roman"/>
                <w:b w:val="false"/>
                <w:i w:val="false"/>
                <w:color w:val="000000"/>
                <w:sz w:val="20"/>
              </w:rPr>
              <w:t>
Обеспечение взаимодействия удостоверяющих центров или удостоверяющих центров и доверенных третьих сторон на двусторонней основе с учетом требований законодательства государств-членов об электронной цифровой подписи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между операторами доверенных третьих сторон и (или) удостоверяющих центров, регламенты взаимодействия операторов доверенных третьих сторон и (или) удостоверяющих центров, технологические карты электронного взаимодействия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уполномоченные органы, УЦ РА, ЦЗИ БЖД, НЦЭУ, НИТ РК, УЦ КР, ОАО "НИИАС", КГД РА, ОАЦ при Президенте РБ, Минтранс РБ, ЗАО "ЮКЖД", ГО "БЖД", АО "НК "КТЖ", ГП "НК "КТЖ", ОАО "РЖД"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программно-технических комплексов и (или) интеграция с имеющимися комплексами с целью обеспечения взаимного признания электронных цифровых подписей на электронных транспортных и товаросопроводительных документах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УЦ РА, КГД РА, ОАЦ при Президенте РБ, Минсвязь РБ, Минтранс РБ, ЗАО "ЮКЖД", ГО "БЖД", АО "НК "КТЖ", ГП "НК "КТЖ", ОАО "РЖД"</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готовности перехода на юридически значимый электронный документооборот между железнодорожными перевозчиками государств-членов в отношении следующих перевозочных и товаросопроводительных документов: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письма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УЦ РА, КГД РА, ОАЦ при Президенте РБ, Минсвязь РБ, Минтранс РБ, ЗАО "ЮКЖД", ГО "БЖД", АО "НК "КТЖ", ГП "НК "КТЖ", ОАО "РЖД"</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накладная СМГС</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накладная ЦИМ/СМГС</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поездная передаточная ведомость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лист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электронного взаимодействия между участниками внешнеэкономической деятельности и контролирующими органами государств-членов</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эксперимента по апробации процедуры электронного таможенного транзита по маршруту Наушки - Брест на другие направления перевозок железнодорожным транспортом между государствами-членами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2021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на Объединенной коллегии таможенных служб государств - членов Таможенного союза порядок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работы по созданию инфраструктуры юридически значимого электронного документооборота у участника внешнеэкономической деятельности (грузоотправителей, получателей, экспедиторов, операторов, плательщиков, таможенных и налоговых агентов и др.) и железнодорожных перевозчиков государств- членов (при необходимости)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уполномоченные органы (при необходимости), ЗАО "ЮКЖД", ГО "БЖД", АО "НК "КТЖ", ГП "НК "КТЖ", ОАО "РЖД"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электронного взаимодействия между железнодорожными перевозчиками государств-членов и контролирующими органами государств-членов: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уполномоченные органы (при необходимости), ЗАО "ЮКЖД", ГО "БЖД", АО "НК "КТЖ", ГП "НК "КТЖ", ОАО "РЖД"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форматов и реквизитного состава электронных перевозочных и товаросопроводительных документов, указанных в подпункте 2.5 настоящего плана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о товарах и транспортных средствах для совершения таможенных операций в рамках перевозки грузов железнодорожным транспортом в объеме перевозочных (железнодорожная накладная СМГС, ЦИМ/СМГС, поездная передаточная ведомость), товаросопроводительных (инвойс, упаковочный лист) и сопроводительных (ветеринарный сертификат, фитосанитарный сертификат) документов между железнодорожными перевозчиками государств-членов и таможенными службами государств-членов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электронного взаимодействия между железнодорожными перевозчиками государств-членов и контролирующими органами государств-членов с целью реализации комплексной сетевой безбумажной технологии перевозки, включающей в себя применение электронных документов при перевозке грузов, таможенном оформлении и налоговой отчетности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нормативных правовых актов с целью исполнения подпункта 3.3 настоящего плана (при необходимости)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Переход на комплексную сетевую безбумажную технологию перевозки грузов между государствами-членами, включая переход на юридически значимый электронный документооборот в части перевозочных и товаросопроводительных документов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по осуществлению международных железнодорожных перевозок на основе внедрения безбумажной технологии перевозки грузов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 ГО "БЖД", АО "НК "КТЖ", ГП "НК "КТЖ", ОАО "РЖД"</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опытных перевозок грузов по безбумажной технологии между железнодорожными перевозчиками государств-членов с привлечением участников внешнеэкономической деятельности и контролирующих органов государств-членов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 ГО "БЖД", АО "НК "КТЖ", ГП "НК "КТЖ", ОАО "РЖД", уполномоченные органы (при необходимости)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комплексную сетевую безбумажную технологию перевозки грузов в международном сообщении по результатам работ, указанных в пунктах 1 - 4 настоящего плана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железнодорожных перевозчиков государств-членов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 ГО "БЖД", АО "НК "КТЖ", ГП "НК "КТЖ", ОАО "РЖД"</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Электронное взаимодействие в сфере ветеринарного и фитосанитарного контроля в рамках перевозки грузов железнодорожным транспортом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(завершение формирования) нормативной базы, регулирующей обмен электронными формами сопроводительных документов (заключение соглашений об организации безбумажной технологии перевозки грузов в международном сообщении с использованием электронных форм сопроводительных документов)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заинтересованные организации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Переход на электронные формы следующих сопроводительных документов: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ветеринарные сертификаты </w:t>
            </w:r>
          </w:p>
          <w:p>
            <w:pPr>
              <w:spacing w:after="20"/>
              <w:ind w:left="20"/>
              <w:jc w:val="both"/>
            </w:pPr>
            <w:r>
              <w:rPr>
                <w:rFonts w:ascii="Times New Roman"/>
                <w:b w:val="false"/>
                <w:i w:val="false"/>
                <w:color w:val="000000"/>
                <w:sz w:val="20"/>
              </w:rPr>
              <w:t xml:space="preserve">
фитосанитарные сертификаты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железнодорожных перевозчиков государств-членов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заинтересованные организации, ЗАО "КЖЖД", ГО "БЖД", АО "НК "КТЖ", ГП "НК "КТЖ", ОАО "РЖД"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Примечания: 1. В подпунктах 1.1 - 1.3, 2.2 - 2.5, 3.2, 3.3, 4.1 -4.3, 5.2 сроки реализации для Республики Армения будут определены дополнительно.</w:t>
            </w:r>
          </w:p>
          <w:bookmarkEnd w:id="8"/>
          <w:p>
            <w:pPr>
              <w:spacing w:after="20"/>
              <w:ind w:left="20"/>
              <w:jc w:val="both"/>
            </w:pPr>
            <w:r>
              <w:rPr>
                <w:rFonts w:ascii="Times New Roman"/>
                <w:b w:val="false"/>
                <w:i w:val="false"/>
                <w:color w:val="000000"/>
                <w:sz w:val="20"/>
              </w:rPr>
              <w:t>
2. Для целей применения настоящего плана используются следующие сокращения: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"Национальная компания "Казахстан темир жолы";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"БЖД"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объединение "Белорусская железная дорога";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"НК "КТЖ"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 "Национальная компания "Кыргыз темир жолу";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"ЮКЖД"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акционерное общество "Южно-кавказская железная дорога";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КГД РА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"НИИАС"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открытое акционерное общество "Научно-исследовательский и проектно- конструкторский институт информатизации, автоматизации и связи на железнодорожном транспорте";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"РЖД"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"Российские железные дороги";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 при Президенте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Оперативно-аналитический центр при Президенте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Минсвязь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связи и информатизации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Минтранс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НУЦ РФ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удостоверяющий центр"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НЦЭУ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"Национальный центр электронных услуг"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международном железнодорожном грузовом сообщении;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ЦЗИ БЖД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защиты информации Государственного объединения "Белорусская железная дорога";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единые правовые предписания к договору о международной железнодорожной перевозке грузов;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УЦ КР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Кыргызской Республики.</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