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2ef0" w14:textId="af62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изъятий и ограничений на внутреннем рынке Евразийского экономического союза, подлежащих устранению в 2021 - 2022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изъятий и ограничений на внутреннем рынке Евразийского экономического союза, подлежащих устранению в 2021 - 2022 годах (далее - перечень).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(далее - Комиссия) совместно с государствами - членами Евразийского экономического союза до 1 октября 2021 г. подготовить проект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устранению изъятий и ограничений на внутреннем рынке Евразийского экономического союза на 2021 - 2022 годы в соответствии с перечнем и представить его для рассмотрения Советом Комиссии.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 - членов Евразийского экономического союза до 15 сентября 2021 г. представить в Комиссию предложения о мероприятиях, направленных на устранение изъятий и ограничений в соответствии с перечнем, для включения их в план мероприятий,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доложить на заседании Евразийского межправительственного совета в IV квартале 2021 г. о ходе реализации настоящего распоряжения и работе по дополнению перечня.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распоряжения,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25 октября 2017 г. № 17 "О плане мероприятий ("дорожной карте") по устранению изъятий и ограничений на внутреннем рынке Евразийского экономического союза на 2018 - 2019 годы".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Члену Коллегии (Министру) по внутренним рынкам, информатизации, информационно-коммуникационным технологиям Комиссии обеспечить мониторинг устранения изъятий и ограничений, включенных в перечень.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г. № 11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изъятий и ограничений на внутреннем рынке Евразийского экономического союза, подлежащих устранению в 2021 - 2022 годах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Необходимость прохождения трудящимися государств - членов Евразийского экономического союза (далее соответственно - государства-члены, Союз) установленной законодательством государств-членов процедуры признания документов об ученых степенях и ученых званиях, выданных уполномоченными органами государств-членов.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Отсутствие гармонизации требований к профессиональной подготовке водителей, подтверждения их профессиональной квалификации и иных требований, связанных с выдачей водительских удостоверений и их использованием для осуществления предпринимательской или трудовой деятельности.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Неурегулированность вопроса взимания вывозных таможенных пошлин при вывозе товаров, происходящих из государства-члена и облагаемых в этом государстве-члене вывозными таможенными пошлинами, с территории другого государства-члена.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условий для осуществления межгосударственного информационного взаимодействия между хозяйствующими субъектами государств-членов (физическими и юридическими лицами) в рамках Союза, предусматривающего использование имеющих юридическую силу электронных документов, заверенных национальной электронной цифровой подписью (электронной подписью).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       в рамках Союза согласованного правового регулирования в сфере обращения сильнодействующих веществ.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Отсутствие в рамках Союза согласованного правового регулирования в сфере обращения культурных ценностей.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Отсутствие законодательных основ для взаимодействия уполномоченных органов государств-членов при осуществлении ими контрольных и надзорных мероприятий за соблюдением требований технических регламентов Союза, а также для рассмотрения и урегулирования спорных вопросов, возникающих между государствами-членами по итогам проведения контрольных и надзорных мероприятий за соблюдением требований технических регламентов Союза.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Отсутствие общих принципов и подходов к установлению сходного (сопоставимого) законодательства государств-членов в части установления ответственности за нарушение обязательных требований к продукции, правил и процедур проведения обязательной оценки соответствия.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Отсутствие достаточного обеспечения исполнения обязательных требований, установленных в технических регламентах Союза, межгосударственными и национальными (государственными) стандартами, а также методиками исследований (испытаний) и измерений в связи с их неактуальностью и (или) отсутствием.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Недостаточность гармонизации законодательства государств- членов в области аккредитации, в том числе отсутствие взаимных сравнительных оценок, необходимых для достижения равнозначности применяемых процедур, а также процедур разрешения споров и претензий между государствами-членами в области аккредитации.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Отсутствие единых обязательных требований в отношении отдельных видов продукции, включенной в Единый перечень продукции, в отношении которой устанавливаются обязательные требования в рамках Таможенного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января 2011 г. № 526.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Неурегулированность вопроса организации взаимодействия по выданным заключениям (разрешительным документам) между уполномоченными органами государств-членов в случаях, когда вывоз товаров осуществляется с территории государства-члена, не являющегося государством, с территории которого они происходят.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Несовершенство порядка установления государствами-членами изъятий из национального режима в сфере государственных (муниципальных) закупок.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Отсутствие возможности использования банковских гарантий, выданных банками-резидентами одного государства-члена, в качестве обеспечения заявки на участие в государственных (муниципальных) закупках и обеспечения исполнения контракта (договора) при проведении государственных (муниципальных) закупок заказчиками другого государства-члена.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