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2ef0" w14:textId="af62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изъятий и ограничений на внутреннем рынке Евразийского экономического союза, подлежащих устранению в 2021 - 2022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20 августа 2021 года № 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изъятий и ограничений на внутреннем рынке Евразийского экономического союза, подлежащих устранению в 2021 - 2022 годах (далее - перечень).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(далее - Комиссия) совместно с государствами - членами Евразийского экономического союза до 1 октября 2021 г. подготовить проект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устранению изъятий и ограничений на внутреннем рынке Евразийского экономического союза на 2021 - 2022 годы в соответствии с перечнем и представить его для рассмотрения Советом Комиссии.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Правительствам государств - членов Евразийского экономического союза до 15 сентября 2021 г. представить в Комиссию предложения о мероприятиях, направленных на устранение изъятий и ограничений в соответствии с перечнем, для включения их в план мероприятий,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распоряжения.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доложить на заседании Евразийского межправительственного совета в IV квартале 2021 г. о ходе реализации настоящего распоряжения и работе по дополнению перечня.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распоряжения,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17 "О плане мероприятий ("дорожной карте") по устранению изъятий и ограничений на внутреннем рынке Евразийского экономического союза на 2018 - 2019 годы".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Члену Коллегии (Министру) по внутренним рынкам, информатизации, информационно-коммуникационным технологиям Комиссии обеспечить мониторинг устранения изъятий и ограничений, включенных в перечень.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Члены Евразийского межправительственного совета: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г. № 11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изъятий и ограничений на внутреннем рынке Евразийского экономического союза, подлежащих устранению в 2021 - 2022 годах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Необходимость прохождения трудящимися государств - членов Евразийского экономического союза (далее соответственно - государства-члены, Союз) установленной законодательством государств-членов процедуры признания документов об ученых степенях и ученых званиях, выданных уполномоченными органами государств-членов.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Отсутствие гармонизации требований к профессиональной подготовке водителей, подтверждения их профессиональной квалификации и иных требований, связанных с выдачей водительских удостоверений и их использованием для осуществления предпринимательской или трудовой деятельности.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Неурегулированность вопроса взимания вывозных таможенных пошлин при вывозе товаров, происходящих из государства-члена и облагаемых в этом государстве-члене вывозными таможенными пошлинами, с территории другого государства-члена.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Отсутствие условий для осуществления межгосударственного информационного взаимодействия между хозяйствующими субъектами государств-членов (физическими и юридическими лицами) в рамках Союза, предусматривающего использование имеющих юридическую силу электронных документов, заверенных национальной электронной цифровой подписью (электронной подписью).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Отсутствие       в рамках Союза согласованного правового регулирования в сфере обращения сильнодействующих веществ.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Отсутствие в рамках Союза согласованного правового регулирования в сфере обращения культурных ценностей.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Отсутствие законодательных основ для взаимодействия уполномоченных органов государств-членов при осуществлении ими контрольных и надзорных мероприятий за соблюдением требований технических регламентов Союза, а также для рассмотрения и урегулирования спорных вопросов, возникающих между государствами-членами по итогам проведения контрольных и надзорных мероприятий за соблюдением требований технических регламентов Союза.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Отсутствие общих принципов и подходов к установлению сходного (сопоставимого)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Отсутствие достаточного обеспечения исполнения обязательных требований, установленных в технических регламентах Союза, межгосударственными и национальными (государственными) стандартами, а также методиками исследований (испытаний) и измерений в связи с их неактуальностью и (или) отсутствием.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Недостаточность гармонизации законодательства государств- членов в области аккредитации, в том числе отсутствие взаимных сравнительных оценок, необходимых для достижения равнозначности применяемых процедур, а также процедур разрешения споров и претензий между государствами-членами в области аккредитации.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Отсутствие единых обязательных требований в отношении отдельных видов продукции, включенной в Единый перечень продукции, в отношении которой устанавливаются обязательные требования в рамках Таможенного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января 2011 г. № 526.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Неурегулированность вопроса организации взаимодействия по выданным заключениям (разрешительным документам) между уполномоченными органами государств-членов в случаях, когда вывоз товаров осуществляется с территории государства-члена, не являющегося государством, с территории которого они происходят.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Несовершенство порядка установления государствами-членами изъятий из национального режима в сфере государственных (муниципальных) закупок.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Отсутствие возможности использования банковских гарантий, выданных банками-резидентами одного государства-члена, в качестве обеспечения заявки на участие в государственных (муниципальных) закупках и обеспечения исполнения контракта (договора) при проведении государственных (муниципальных) закупок заказчиками другого государства-члена.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