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630" w14:textId="7393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страховой поддержки взаимной и внешней торговли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докладом о мерах страховой поддержки взаимной и внешней торговли государств - членов Евразийского экономического союза и признавая необходимость принятия совместных мер такой поддержки, включая создание Евразийской перестраховочной компании: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сформировать рабочую группу по рассмотрению вопросов создания Евразийской перестраховочной компании (далее - рабочая группа);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доложить на очередном заседании Евразийского межправительственного совета о ходе разработки проекта международного договора, указанного в пункте 3 настоящего распоряжения.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- членов Евразийского экономического союза и Евразийский банк развития в течение 15 календарных дней с даты вступления в силу настоящего распоряжения направить в адрес Евразийской экономической комиссии предложения по кандидатурам для включения в состав рабочей группы (включая представителей экспортно-кредитных агентств и банков развития государств - членов Евразийского экономического союза).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течение 6 месяцев с даты ее формирования разработать проект международного договора об учреждении и деятельности Евразийской перестраховочной компании, регламентирующего ее статус, задачи, функции, а также вопросы финансового обеспечения, исходя из необходимости его подписания в первом полугодии 2022 года.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