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b106c" w14:textId="51b10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Основных направлениях промышленного сотрудничества в рамках Евразийского экономического союза до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Евразийского Межправительственного Совета от 30 апреля 2021 года № 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92 Договора о Евразийском экономическом союзе от 29 мая 2014 года Евразийский межправительственный совет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Основные направления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промышленного сотрудничества в рамках Евразийского экономического союза до 2025 года (далее – Основные направления).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Правительствам государств – членов Евразийского экономического союза совместно с Евразийской экономической комиссией обеспечить реализацию Основных направлений.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Евразийской экономической комиссии подготовить совместно с государствами – членами Евразийского экономического союза проект плана мероприятий по реализации Основных направлений и представить его до 31 декабря 2021 г. для рассмотрения Советом Евразийской экономической комиссии.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вступает в силу с даты его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787"/>
        <w:gridCol w:w="1968"/>
        <w:gridCol w:w="1968"/>
        <w:gridCol w:w="2788"/>
        <w:gridCol w:w="2789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Евразийского межправительственного совета:</w:t>
            </w:r>
          </w:p>
        </w:tc>
      </w:tr>
      <w:tr>
        <w:trPr>
          <w:trHeight w:val="30" w:hRule="atLeast"/>
        </w:trPr>
        <w:tc>
          <w:tcPr>
            <w:tcW w:w="2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  <w:tc>
          <w:tcPr>
            <w:tcW w:w="19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  <w:bookmarkEnd w:id="5"/>
        </w:tc>
        <w:tc>
          <w:tcPr>
            <w:tcW w:w="19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6"/>
        </w:tc>
        <w:tc>
          <w:tcPr>
            <w:tcW w:w="27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  <w:tc>
          <w:tcPr>
            <w:tcW w:w="2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межправительственного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2021 г. № 5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НАПРАВЛЕНИЯ</w:t>
      </w:r>
      <w:r>
        <w:br/>
      </w:r>
      <w:r>
        <w:rPr>
          <w:rFonts w:ascii="Times New Roman"/>
          <w:b/>
          <w:i w:val="false"/>
          <w:color w:val="000000"/>
        </w:rPr>
        <w:t>промышленного сотрудничества в рамках Евразийского экономического союза до 2025 года</w:t>
      </w:r>
    </w:p>
    <w:bookmarkEnd w:id="7"/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 Общие положения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Основные направления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(далее – Договор), являются среднесрочным стратегическим документом и определяют цель, задачи, направления, инструменты, приоритетные виды экономической деятельности для промышленного сотрудничества в рамках Евразийского экономического союза (далее – Союз) по перечню согласно приложению № 1, относящиеся к добывающей и обрабатывающей промышленности (за исключением пищевой переработки) в соответствии с национальными классификаторами видов экономической деятельности, и перечень чувствительных товаров, приоритетных для промышленного сотрудничества государств – членов Союза (далее – государства-члены), в целях взаимного информирования государств-членов о планируемых мерах промышленной политики и проведения консультаций до 2025 года.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Основные направления не распространяются на добычу топливно-энергетических полезных ископаемых, производство кокса и продуктов нефтепереработки, а также на производство вооружения и боеприпасов.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настоящих Основных направлений государства-члены обеспечивают проведение промышленной политики в рамках Союза в соответствии с правом Союза.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настоящих Основных направлений не должна препятствовать разработке, формированию и реализации политики государств-членов в промышленной сфере.</w:t>
      </w:r>
    </w:p>
    <w:bookmarkEnd w:id="12"/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 Определения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настоящих Основных направлений используются понятия, которые означают следующее: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"евразийская технологическая платформа" – объект инновационной инфраструктуры, позволяющий обеспечить эффективную коммуникацию и создание перспективных коммерческих технологий, высокотехнологичной, инновационной и конкурентоспособной продукции на основе участия всех заинтересованных лиц (представителей бизнес-сообществ, органов государственной власти, общественных организаций);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"евразийский центр компетенций" – объект инфраструктуры, в том числе на базе высшего учебного заведения или научной организации, позволяющий обеспечить разработку инновационных решений в области сквозных технологий (по ключевым научно-технологическим направлениям, оказывающим влияние на перспективные технологические рынки и отрасли промышленности) и глобальное лидерство для компаний, которые используют данные технологии для производства товаров и услуг;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"системообразующее предприятие" – предприятие государства-члена, важнейшее для развития соответствующей отрасли, реализующее инновационные и инвестиционные проекты, оказывающие существенное влияние на динамику производства и занятость в соответствующих отраслях промышленности;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"сквозные технологии" – технологии, которые одновременно охватывают несколько трендов или отраслей промышленности (например, новые производственные технологии, промышленный интернет, компоненты робототехники и сенсорика, технологии беспроводной связи, нейротехнологии и искусственный интеллект, квантовые технологии, "большие данные", системы распределенного реестра, технологии виртуальной и дополненной реальности и др.);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"совместный проект" – проект, направленный на развитие кооперационных связей, реализуемый совместно организациями государств-членов, в том числе в рамках евразийских технологических платформ;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"чувствительный товар" – товар с высоким уровнем конкуренции между производителями различных государств-членов.</w:t>
      </w:r>
    </w:p>
    <w:bookmarkEnd w:id="20"/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 Ключевые тренды, вызовы и риски для промышленного развития и сотрудничества государств-членов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ключевым трендам мировой экономики, оказывающим влияние на динамику и устойчивость промышленного развития государств-членов, относятся: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ускорение научно-технического прогресса и технологической трансформации в сфере промышленности, связанное с роботизацией и цифровизацией производственных процессов;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широкое распространение, кастомизация промышленных товаров и услуг по запросам потребителей;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расширение технологического и торгового протекционизма на мировом рынке промышленных товаров.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изменения создают следующие вызовы промышленному развитию и сотрудничеству государств-членов: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рост конкуренции (в том числе недобросовестной) со стороны производителей промышленных товаров и услуг третьих стран как на внутреннем рынке Союза, так и на внешних рынках и необходимость оперативно реагировать на него;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технологическое отставание и зависимость от существующих или формирующихся производственно-технологических центров;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распространение новых технических стандартов, создающее дополнительные барьеры для доступа на внешние рынки;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отставания по уровню оплаты труда от промышленно развитых стран и усиление оттока высококвалифицированных кадров за рубеж;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незаконный оборот промышленных товаров и отсутствие синхронизированных информационных систем прослеживаемости.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ключевым рискам для промышленного развития и сотрудничества государств-членов могут быть отнесены: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наступление очередной рецессии мировой экономики;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усиление волатильности мировых цен на основные экспортируемые промышленные товары государств-членов;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резкие изменения обменных курсов мировых валют и национальных валют государств-членов, радикально меняющие направления внешнеторговых потоков;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возникновение недобросовестных практик субсидирования и конкурентной борьбы в рамках Союза, усиление протекционистских мер, появление новых барьеров;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доли незаконного оборота промышленных товаров на территориях государств-членов;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появление и массовое внедрение в индустриально развитых странах новых эффективных технологий производства промышленных товаров, снижающих конкурентные преимущества товаров Союза на мировых рынках сбыта.</w:t>
      </w:r>
    </w:p>
    <w:bookmarkEnd w:id="38"/>
    <w:bookmarkStart w:name="z4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 Цель и задачи промышленного сотрудничества в рамках Союза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промышленного сотрудничества в рамках Союза являются ускорение и повышение устойчивости промышленного развития на основе эффективного и взаимовыгодного сотрудничества государств-членов для построения современной, интеллектуальной, конкурентоспособной на мировом рынке экономики Союза.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этой цели к 2025 году с учетом имеющихся результатов и текущего уровня промышленного сотрудничества в рамках Союза, национальных приоритетов развития государств-членов, существующих вызовов и вероятных рисков потребует решения следующих задач: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стимулирование опережающего роста промышленного производства государств-членов на основе использования потенциала рынка Союза;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конкурентоспособности промышленных предприятий государств-членов, продвижение экспорта их совместно произведенных товаров путем совместной работы на внешних рынках;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переход на новый уровень технологического развития промышленного производства путем совместного стимулирования инновационного развития и цифровой трансформации промышленности; 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промышленной интеграции в рамках реализации </w:t>
      </w:r>
      <w:r>
        <w:rPr>
          <w:rFonts w:ascii="Times New Roman"/>
          <w:b w:val="false"/>
          <w:i w:val="false"/>
          <w:color w:val="000000"/>
          <w:sz w:val="28"/>
        </w:rPr>
        <w:t>Стратегических направлений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евразийской экономической интеграции до 2025 года, утвержденных Решением Высшего Евразийского экономического совета от 11 декабря 2020 г. № 12;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системы маркировки и прослеживаемости промышленных товаров в рамках Союза;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информационное взаимодействие и аналитическая деятельность.</w:t>
      </w:r>
    </w:p>
    <w:bookmarkEnd w:id="47"/>
    <w:bookmarkStart w:name="z5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 Направления развития промышленного сотрудничества в рамках Союза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Направления развития промышленного сотрудничества в рамках Союза определяют общие подходы к проработке вопросов и реализации проектов при взаимодействии государств-членов для осуществления промышленного сотрудничества в рамках Союза.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направлениям развития промышленного сотрудничества в рамках Союза относятся использование потенциала рынка Союза, совместная работа на экспортных рынках, инновационное сотрудничество и цифровизация промышленности, стратегические направления углубления промышленной интеграции, совершенствование системы маркировки и прослеживаемости промышленных товаров в рамках Союза, информационное взаимодействие и аналитическая деятельность.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Каждое направление определяет часть вопросов, касающихся развития промышленного сотрудничества в рамках Союза. Совокупность направлений позволяет определить ключевые моменты для систематизации предложений по промышленному сотрудничеству в рамках Союза, подготовки и реализации совместных проектов.</w:t>
      </w:r>
    </w:p>
    <w:bookmarkEnd w:id="51"/>
    <w:bookmarkStart w:name="z5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1. Использование потенциала рынка Союза</w:t>
      </w:r>
    </w:p>
    <w:bookmarkEnd w:id="52"/>
    <w:bookmarkStart w:name="z5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Выявление и устранение барьеров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взаимодействия промышленных организаций с органами Союза по вопросам, касающимся барьеров на рынке Союза и для развития предприятий государств-членов Евразийская экономическая комиссия (далее – Комиссия):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работу с обращениями промышленных организаций по вопросам, касающимся барьеров;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предложения по устранению барьеров для рассмотрения органами Союза.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совместно с государствами-членами осуществляет: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системообразующих предприятий государств-членов (с проведением анкетирования) и готовит 1 раз в 2 года доклад о выявленных барьерах на основе указанного мониторинга;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подготовку предложений по снижению трансграничных барьеров и формированию условий для производственной кооперации.</w:t>
      </w:r>
    </w:p>
    <w:bookmarkEnd w:id="59"/>
    <w:bookmarkStart w:name="z6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Координация промышленных политик государств-членов в отношении чувствительных товаров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взаимного информирования государств-членов о принимаемых мерах по поддержке производства чувствительных товаров Комиссия совместно с государствами-членами: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реализует механизм взаимного информирования государств-членов о планируемых направлениях реализации национальной промышленной политики в отношении чувствительных товаров, приоритетных для промышленного сотрудничества в рамках Союза, по перечню согласно приложению № 2 в соответствии с порядком согласно приложению № 3;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на постоянной основе мониторинг и осуществляет анализ нормативных правовых актов, принимаемых государствами-членами в отношении чувствительных товаров;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ведение на официальном сайте Союза реестра нормативных правовых актов (проектов актов), принятых (разработанных) государствами-членами в отношении чувствительных товаров (реестр формируется на основании информации, представляемой государствами-членами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Порядка, предусмотренного приложением № 3 к настоящим Основным направлениям, и результатов проводимого Комиссией мониторинга разработки и принятия государствами-членами нормативных правовых актов в отношении чувствительных товаров);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подготавливает ежеквартально отчет об исполнении государствами-членами права Союза в отношении чувствительных товаров и направляет его государствам-членам для учета в работе;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нормативных правовых актов (проектов актов), в отношении которых государствами-членами не было обеспечено предварительное информирование, направляет информацию о них в уполномоченные органы государств-членов и при поступлении обращения от государств-членов инициирует проведение консультаций;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мониторинг исполнения механизма обязательного информирования о проектах нормативных правовых актов, предусматривающих предоставление специфических субсидий производителям чувствительных товаров;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анализ проектов нормативных правовых актов, предусматривающих предоставление специфических субсидий производителям чувствительных товаров, и подготавливает заключение об их соответствии положениям Договора;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обобщает информацию о принятых государствами-членами нормативных правовых актах, предусматривающих предоставление специфических субсидий производителям чувствительных товаров;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при необходимости консультации государств-членов перед принятием мер промышленной политики в отношении чувствительных товаров для учета взаимных позиций государств-членов.</w:t>
      </w:r>
    </w:p>
    <w:bookmarkEnd w:id="70"/>
    <w:bookmarkStart w:name="z76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Формирование кооперационного сотрудничества и реализация совместных проектов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углубления кооперационных связей промышленных комплексов государств-членов, формирования евразийских производственных цепочек, расширения участия в них малых и средних промышленных компаний, повышения эффективности обмена новыми знаниями и технологиями, их внедрения на промышленных предприятиях государств-членов Комиссия совместно с государствами-членами осуществляет: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евразийской сети промышленной кооперации, субконтрактации и трансфера технологий;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предложений по перспективным кооперационным проектам, механизмам их реализации (в том числе в рамках цифровой повестки Союза);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карты индустриализации Союза, ее опубликование на официальном сайте Союза, а также актуализацию;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подготовку периодических отраслевых обзоров.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карты индустриализации Союза Комиссия осуществляет мониторинг ее реализации и актуализирует ее содержание по предложениям уполномоченных органов государств-членов.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реализации проектов на основе наилучших мировых практик Комиссия совместно с государствами-членами обеспечивает взаимное участие организаций, финансовых и нефинансовых институтов, банков государств-членов в реализации таких проектов путем проведения поиска и отбора проектов с интеграционным эффектом.</w:t>
      </w:r>
    </w:p>
    <w:bookmarkEnd w:id="78"/>
    <w:bookmarkStart w:name="z84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Углубление кооперационного сотрудничества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стимулирования заинтересованности промышленных организаций государств-членов в налаживании и углублении кооперационного сотрудничества, взаимного учета выполняемых в государствах-членах технологических операций Комиссия совместно с государствами-членами: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предложения по расширению механизмов поддержки кооперационных проектов в рамках Союза (в том числе посредством привлечения международных финансовых институтов) для рассмотрения органами Союза;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прорабатывает возможность унификации требований к промышленным товарам, предусмотренных законодательством государств-членов, с учетом актов органов Союза;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формирует на основе предложений государств-членов перечень товаров, в отношении которых целесообразно определить условия, производственные и технологические операции, при выполнении которых товар будет считаться происходящим из государства-члена, для последующего внесения изменений в 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определения страны происхождения отдельных видов товаров для целей государственных (муниципальных) закупок, утвержденным Решением Совета Евразийской экономической комиссии от 23 ноября 2020 г.№ 105.</w:t>
      </w:r>
    </w:p>
    <w:bookmarkEnd w:id="83"/>
    <w:bookmarkStart w:name="z89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2. Совместная работа на экспортных рынках</w:t>
      </w:r>
    </w:p>
    <w:bookmarkEnd w:id="84"/>
    <w:bookmarkStart w:name="z90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Продвижение совместно произведенных товаров на рынки третьих стран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объединения усилий в целях совместного выхода и стимулирования экспорта промышленных товаров и услуг на рынки третьих стран (в том числе для реализации Стратегических направлений развития евразийской экономической интеграции до 2025 года) государства-члены при участии Комиссии формируют механизм взаимодействия, направленного на совместный выход на рынки третьих стран (в том числе на экспорт промышленных услуг), и прорабатывают следующие вопросы: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возможность формирования механизма финансирования в национальных валютах государств-членов для поддержки проектов с интеграционным эффектом (при участии Евразийского банка развития);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возможность применения совместных мер нефинансовой поддержки экспорта в части использования информационных ресурсов, созданных в государствах-членах для поддержки экспорта товаров, произведенных в государствах-членах, на рынки третьих стран (в том числе проведения совместных выставочно-ярмарочных мероприятий с размещением информации на официальном сайте Союза).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в целях аналитического сопровождения работы на экспортных рынках: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анализ перспективных рынков и отраслей промышленности для совместного экспорта государств-членов и при необходимости разрабатывает соответствующие рекомендации для государств-членов;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мониторинг экспорта на рынки третьих стран и разрабатывает при необходимости предложения по развитию экспорта и сотрудничеству государств-членов с целью предотвращения конкуренции между производителями государств-членов на рынках третьих стран;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анализ наилучших мировых практик поддержки экспорта и при необходимости разрабатывает предложения по совершенствованию применяемых механизмов для рассмотрения органами Союза;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подготавливает обзоры внешних рынков и иной аналитической информации для экспортеров и потенциальных экспортеров государств-членов с использованием аналитической информации Евразийского банка развития.</w:t>
      </w:r>
    </w:p>
    <w:bookmarkEnd w:id="93"/>
    <w:bookmarkStart w:name="z99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Работа с объединениями деловых кругов третьих государств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применения наилучших мировых практик, создания условий для локализации в рамках Союза высокотехнологичных товаров, включения производителей государств-членов в международные производственные цепочки Комиссия организует взаимодействие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объединениями деловых кругов третьих государств и совместно с государствами-членами реализует следующие мероприятия: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организации совместно с ведущими производителями государств-членов международных мероприятий, направленных на продвижение интересов бизнес-сообществ государств-членов;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участию производителей государств-членов в международных выставках, семинарах, конференциях и форумах;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посещению предприятий государств-членов представителями компаний третьих государств для получения информации о потенциальных партнерах из государств-членов;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промышленным организациям третьих государств информации о преимуществах и особенностях работы на рынке промышленных товаров в рамках Союза;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анализа проблемных вопросов, ограничивающих развитие отраслевых локализованных производств в государствах-членах, включение промышленных организаций государств-членов в международные производственные цепочки, продвижение товаров государств-членов на внешние рынки и подготовка с учетом наилучших мировых практик предложений для рассмотрения органами Союза.</w:t>
      </w:r>
    </w:p>
    <w:bookmarkEnd w:id="100"/>
    <w:bookmarkStart w:name="z106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Сотрудничество с государствами, международными организациями и международными интеграционными объединениями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применения в рамках Союза наилучших мировых практик, развития международной производственной и научно-технической кооперации, создания условий для продвижения промышленных товаров и услуг на рынки третьих стран Комиссия оказывает содействие государствам-членам в организации взаимодействия с: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правительствами и государственными органами третьих государств;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международными организациями и международными интеграционными объединениями.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совместно с государствами-членами: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крупнейших международных мероприятиях, обеспечивает включение вопросов, касающихся промышленного сотрудничества в рамках Союза, в повестку дня этих мероприятий по согласованию с государствами-членами;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на международных площадках информацию о целях, задачах, основных направлениях промышленного сотрудничества в рамках Союза;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обмен опытом с международными организациями о наилучших практиках мониторинга, прогнозирования, стимулирования развития промышленных комплексов государств-членов;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учитывает международный опыт при разработке предложений для рассмотрения органами Союза.</w:t>
      </w:r>
    </w:p>
    <w:bookmarkEnd w:id="109"/>
    <w:bookmarkStart w:name="z115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 3. Инновационное сотрудничество и цифровизация промышленности</w:t>
      </w:r>
    </w:p>
    <w:bookmarkEnd w:id="110"/>
    <w:bookmarkStart w:name="z116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Формирование общей системы технологического прогнозирования в рамках Союза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своевременного выявления наиболее перспективных тенденций и возможностей в сфере развития технологий Комиссия совместно с государствами-членами может осуществлять следующие мероприятия: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постоянно действующей площадки для обсуждения тенденций и прогнозов развития технологий по ключевым направлениям с участием представителей институтов развития, организаций – разработчиков инноваций (включая научно-исследовательские, промышленные предприятия);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обсуждения прогнозов технологического развития, подготовленных организациями, государственными органами государств-членов, а также международными организациями;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обзора о тенденциях и перспективах развития технологий, рынков инновационных товаров в мире и в рамках Союза и выработка предложений о перспективных направлениях технологического сотрудничества в рамках Союза, мерах его поддержки.</w:t>
      </w:r>
    </w:p>
    <w:bookmarkEnd w:id="115"/>
    <w:bookmarkStart w:name="z121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Взаимодействие в рамках евразийских технологических платформ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технологического развития промышленных организаций, своевременного внедрения в производство инновационных разработок Комиссия совместно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государствами-членами организует взаимодействие ведущих промышленных предприятий, научных и образовательных учреждений, государственных органов, общественных организаций в рамках евразийских технологических платформ как постоянно действующих площадок сотрудничества по направлениям технологического развития и реализует следующие мероприятия: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евразийских технологических платформ, взаимодействие по вопросам выявления потребности реального сектора экономики государств-членов в новых технологиях, определения наилучших мировых практик для возможного применения на промышленных предприятиях государств-членов, налаживания инновационного сотрудничества и поддержки совместных инициатив и совместных проектов, выявления барьеров, препятствующих научно-техническому развитию государств-членов, выработки рекомендаций по их устранению и др.;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предложений с учетом инициатив ведущих промышленных, научных организаций государств-членов и участников евразийских технологических платформ по актуальным направлениям технологического развития;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совместно с участниками евразийских технологических платформ предложений по межгосударственным программам и проектам для рассмотрения органами Союза;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реализации совместных программ и высокотехнологичных проектов, в том числе с привлечением международных институтов развития (Евразийский банк развития, Евразийский фонд стабилизации развития и др.);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участникам евразийских технологических платформ в организации выставок, семинаров, конференций и форумов для продвижения технологических разработок государств-членов, углубления технологического взаимодействия в реальном секторе экономики;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мониторинга деятельности евразийских технологических платформ, подготовка соответствующего доклада (с указанием предложений по повышению эффективности их работы).</w:t>
      </w:r>
    </w:p>
    <w:bookmarkEnd w:id="123"/>
    <w:bookmarkStart w:name="z129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Формирование евразийских центров компетенций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способов решения конкретных прикладных задач инновационного развития и модернизации промышленных предприятий государств-членов с учетом наилучших мировых практик может реализовываться посредством создания государствами-членами условий для формирования хозяйствующими субъектами государств-членов евразийских центров компетенций, включая содействие: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формированию евразийских центров компетенций по актуальным направлениям технологического развития с учетом инициатив ведущих промышленных предприятий, научных и образовательных организаций, бизнес-ассоциаций и объединений государств-членов;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евразийскими центрами компетенций выставок, семинаров, конференций и форумов для информирования организаций реального сектора экономики о мировых и отечественных трендах технологического развития, о наилучших доступных для внедрения технологиях и др.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совместно с Комиссией: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координируют работу евразийских центров компетенций, взаимодействуют по вопросам применения наилучших мировых практик для реализации межгосударственных программ и проектов, экспертизы внедряемых промышленными предприятиями технологий, разработки отраслевых рекомендаций по направлениям технологической модернизации и др.;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анализируют деятельность евразийских центров компетенций, разрабатывают предложения по повышению эффективности их работы для рассмотрения органами Союза.</w:t>
      </w:r>
    </w:p>
    <w:bookmarkEnd w:id="130"/>
    <w:bookmarkStart w:name="z136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Обмен опытом в сфере промышленно-технологического сотрудничества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совместно с государствами-членами, в том числе в рамках деятельности евразийских технологических платформ и евразийских центров компетенций в сфере промышленно-технологического сотрудничества, содействует установлению рабочих контактов между научно-исследовательскими организациями, институтами развития и промышленными предприятиями государств-членов, разрабатывает предложения по повышению эффективности реализуемых в государствах-членах научно-исследовательских и опытно-конструкторских работ для рассмотрения органами Союза.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на основании предложений государств-членов публикует на официальном сайте Союза перечни: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научно-исследовательских организаций государств-членов;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завершенных, проводимых и планируемых научно-исследовательских и опытно-конструкторских работ в промышленной сфере, факт проведения которых не является государственной или коммерческой тайной;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технологических компаний (стартапов) государств-членов;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центров коллективного пользования научным оборудованием и уникальными научными установками в государствах-членах;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инжиниринговых центров государств-членов;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испытательных центров государств-членов.</w:t>
      </w:r>
    </w:p>
    <w:bookmarkEnd w:id="139"/>
    <w:bookmarkStart w:name="z145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Углубление сотрудничества в рамках деятельности объектов индустриально-инновационной инфраструктуры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углубления сотрудничества в рамках реализации проектов, создания объектов индустриально-инновационной инфраструктуры, повышения эффективности участия в них промышленных организаций Комиссия совместно с государствами-членами участвует в развитии механизма "единого окна" и обеспечении условий его доступности для предпринимателей и производителей, желающих создать производства.</w:t>
      </w:r>
    </w:p>
    <w:bookmarkEnd w:id="141"/>
    <w:bookmarkStart w:name="z147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Цифровая трансформация промышленности государств-членов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внедрения электронных систем и повышения конкурентных преимуществ промышленных организаций Комиссия совместно с государствами-членами обеспечивает развитие сотрудничества в сфере цифровой трансформации промышленности и реализует при участии отраслевых ассоциаций, ведущих технологических компаний и профильных организаций государств-членов следующие мероприятия: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опубликование каталогов, содержащих описание наилучших мировых практик цифровизации промышленности;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опубликование реестров программного и аппаратного обеспечения для применения в промышленности;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рекомендаций по вопросам цифровой трансформации предприятий и реализации цифровых проектов.</w:t>
      </w:r>
    </w:p>
    <w:bookmarkEnd w:id="146"/>
    <w:bookmarkStart w:name="z152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4. Стратегические направления углубления промышленной интеграции</w:t>
      </w:r>
    </w:p>
    <w:bookmarkEnd w:id="147"/>
    <w:bookmarkStart w:name="z153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Всесторонняя оценка целесообразности формирования общей стратегии развития промышленности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совместно с государствами-членами осуществляет подготовку комплексного доклада о целесообразности формирования в рамках Союза общей стратегии развития промышленности.</w:t>
      </w:r>
    </w:p>
    <w:bookmarkEnd w:id="149"/>
    <w:bookmarkStart w:name="z155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Оценка инструментов и уровней государственной поддержки промышленности в государствах-членах и проработка возможных направлений их сближения</w:t>
      </w:r>
    </w:p>
    <w:bookmarkEnd w:id="150"/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гибких механизмов целевого содействия экономическому развитию Комиссия совместно с государствами-членами реализует следующие мероприятия:</w:t>
      </w:r>
    </w:p>
    <w:bookmarkEnd w:id="151"/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анализа и оценки инструментов, механизмов и уровней государственной поддержки промышленности в государствах-членах;</w:t>
      </w:r>
    </w:p>
    <w:bookmarkEnd w:id="152"/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доклада об инструментах, уровнях государственной поддержки промышленности в государствах-членах (с указанием предложений по возможным направлениям их сближения) для рассмотрения органами Союза.</w:t>
      </w:r>
    </w:p>
    <w:bookmarkEnd w:id="153"/>
    <w:bookmarkStart w:name="z159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Развитие экономического сотрудничества в сфере "зеленых" технологий и защиты окружающей среды</w:t>
      </w:r>
    </w:p>
    <w:bookmarkEnd w:id="154"/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развития экономического сотрудничества в сфере "зеленых" технологий и защиты окружающей среды Комиссия совместно с государствами-членами реализует следующие мероприятия:</w:t>
      </w:r>
    </w:p>
    <w:bookmarkEnd w:id="155"/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вопроса введения поэтапного запрета на ввоз и производство одноразового пластика (в том числе пакетов);</w:t>
      </w:r>
    </w:p>
    <w:bookmarkEnd w:id="156"/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предложений на основе анализа промышленной отрасли.</w:t>
      </w:r>
    </w:p>
    <w:bookmarkEnd w:id="157"/>
    <w:bookmarkStart w:name="z163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5. Снижение доли незаконного оборота промышленных товаров и развитие синхронизированных информационных систем прослеживаемости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системы маркировки и прослеживаемости промышленных товаров, обеспечения прослеживаемости промышленных товаров, перемещаемых между государствами-членами, Комиссия и государства-члены реализуют следующие меры и механизмы: 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принимают участие в разработке проектов актов органов Союза по вопросам прослеживаемости промышленных товаров, перемещаемых между государствами-членами, в целях реализации Соглашения о механизме прослеживаемости товаров, ввезенных на таможенную территорию Евразийского экономического союза, от 29 мая 2019 года;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принимают участие в разработке единого цифрового каталога товаров Союза на основе соответствующих каталогов государств-членов в части, касающейся промышленных товаров.</w:t>
      </w:r>
    </w:p>
    <w:bookmarkEnd w:id="161"/>
    <w:bookmarkStart w:name="z167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6. Информационное взаимодействие и аналитическая деятельность</w:t>
      </w:r>
    </w:p>
    <w:bookmarkEnd w:id="162"/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Информационное взаимодействие государств-членов при реализации настоящих Основных направлений (включая формирование информационных ресурсов, реестров и др.) осуществляется с использованием интегрированной информационной системы Союза.</w:t>
      </w:r>
    </w:p>
    <w:bookmarkEnd w:id="163"/>
    <w:bookmarkStart w:name="z1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аналитического сопровождения принимаемых решений Комиссия:</w:t>
      </w:r>
    </w:p>
    <w:bookmarkEnd w:id="164"/>
    <w:bookmarkStart w:name="z1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 ежеквартально электронный информационно-аналитический обзор о состоянии и тенденциях развития промышленности государств-членов с использованием индикаторов по перечню согласно приложению № 4 (пункты 1 и 2 раздела I указанного перечня) и размещает его на официальном сайте Союза;</w:t>
      </w:r>
    </w:p>
    <w:bookmarkEnd w:id="165"/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мониторинг рынка промышленных товаров в рамках Союза с использованием индикаторов в соответствии с разделами I – III перечня,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Основным направлениям, и разрабатывает предложения по использованию потенциала рынка Союза;</w:t>
      </w:r>
    </w:p>
    <w:bookmarkEnd w:id="166"/>
    <w:bookmarkStart w:name="z17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 ежегодно доклад о результатах мониторинга рынка промышленных товаров в рамках Союза, включая результаты мониторинга кооперационного сотрудничества с использованием индикаторов в соответствии с разделами IV и V перечня, предусмотренного приложением № 4 к настоящим Основным направлениям;</w:t>
      </w:r>
    </w:p>
    <w:bookmarkEnd w:id="167"/>
    <w:bookmarkStart w:name="z17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 ежегодно доклад о результатах мониторинга реализации настоящих Основных направлений, включающий в себя при необходимости информацию о результатах мониторинга системообразующих предприятий государств-членов, для рассмотрения Евразийским межправительственным советом;</w:t>
      </w:r>
    </w:p>
    <w:bookmarkEnd w:id="168"/>
    <w:bookmarkStart w:name="z17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 ежегодно обзор проектов создания промышленных производственных мощностей в государствах-членах.</w:t>
      </w:r>
    </w:p>
    <w:bookmarkEnd w:id="1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Основным направлениям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промышленного сотрудничества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 до 2025 года</w:t>
            </w:r>
          </w:p>
        </w:tc>
      </w:tr>
    </w:tbl>
    <w:bookmarkStart w:name="z176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приоритетных видов экономической деятельности для промышленного сотрудничества в рамках Евразийского экономического союза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Специализированное машиностроение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Автомобилестроение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Станкостроение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Авиастроение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Космические технологии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Легкая промышленность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Химическая промышленность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Обработка древесины и производство изделий из дерева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Энергетическое машиностроение, электротехническая и кабельная промышленность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Системы накопления энергии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Возобновляемая энергетика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Тяжелое машиностроение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Нефтегазовое машиностроение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Водородная энергетика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Производство автомобильного электротранспорта, комплектующих для него и зарядной инфраструктуры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Промышленная продукция для железнодорожного транспорта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Металлургия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Производство строительных материалов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Ювелирная промышленность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Фармацевтическая промышленность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Ядерные и радиационные технологии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Судостроительная промышленность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Производство основных фармацевтических продуктов и фармацевтических препаратов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Производство целлюлозы, бумаги и изделий из бумаги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Подготовка и прядение льняного волокна, производство льняных тканей</w:t>
      </w:r>
    </w:p>
    <w:bookmarkEnd w:id="1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Основным направлениям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промышленного сотрудничества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 до 2025 года</w:t>
            </w:r>
          </w:p>
        </w:tc>
      </w:tr>
    </w:tbl>
    <w:bookmarkStart w:name="z203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чувствительных товаров, приоритетных для промышленного сотрудничества в рамках Евразийского экономического союза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6"/>
        <w:gridCol w:w="8574"/>
      </w:tblGrid>
      <w:tr>
        <w:trPr>
          <w:trHeight w:val="30" w:hRule="atLeast"/>
        </w:trPr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Автомобилестроение</w:t>
            </w:r>
          </w:p>
        </w:tc>
      </w:tr>
      <w:tr>
        <w:trPr>
          <w:trHeight w:val="30" w:hRule="atLeast"/>
        </w:trPr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8703</w:t>
            </w:r>
          </w:p>
        </w:tc>
      </w:tr>
      <w:tr>
        <w:trPr>
          <w:trHeight w:val="30" w:hRule="atLeast"/>
        </w:trPr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8702</w:t>
            </w:r>
          </w:p>
        </w:tc>
      </w:tr>
      <w:tr>
        <w:trPr>
          <w:trHeight w:val="30" w:hRule="atLeast"/>
        </w:trPr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грузовые и специальные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8704, 8705</w:t>
            </w:r>
          </w:p>
        </w:tc>
      </w:tr>
      <w:tr>
        <w:trPr>
          <w:trHeight w:val="30" w:hRule="atLeast"/>
        </w:trPr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Карьерные самосвалы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8704</w:t>
            </w:r>
          </w:p>
        </w:tc>
      </w:tr>
      <w:tr>
        <w:trPr>
          <w:trHeight w:val="30" w:hRule="atLeast"/>
        </w:trPr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Прицепы и полуприцепы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8716</w:t>
            </w:r>
          </w:p>
        </w:tc>
      </w:tr>
      <w:tr>
        <w:trPr>
          <w:trHeight w:val="30" w:hRule="atLeast"/>
        </w:trPr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моторных транспортных средств, в том числе двигатели внутреннего сгорания, кузова и шасси автотранспортных средств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8407, из 8408,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 00 – 8708</w:t>
            </w:r>
          </w:p>
          <w:bookmarkEnd w:id="197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Производство резиновых и пластмассовых изделий</w:t>
            </w:r>
          </w:p>
        </w:tc>
      </w:tr>
      <w:tr>
        <w:trPr>
          <w:trHeight w:val="30" w:hRule="atLeast"/>
        </w:trPr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 автомобильные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 Легкая промышленность</w:t>
            </w:r>
          </w:p>
        </w:tc>
      </w:tr>
      <w:tr>
        <w:trPr>
          <w:trHeight w:val="30" w:hRule="atLeast"/>
        </w:trPr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Пряжа и ткани хлопчатобумажные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 – 5212</w:t>
            </w:r>
          </w:p>
        </w:tc>
      </w:tr>
      <w:tr>
        <w:trPr>
          <w:trHeight w:val="30" w:hRule="atLeast"/>
        </w:trPr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Пряжа и ткани шерстяные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5106, 5107, 5109, 5111, 5112</w:t>
            </w:r>
          </w:p>
        </w:tc>
      </w:tr>
      <w:tr>
        <w:trPr>
          <w:trHeight w:val="30" w:hRule="atLeast"/>
        </w:trPr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Пряжа и ткани шелковые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5004 00, 5005 00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 5006 00, 5007</w:t>
            </w:r>
          </w:p>
          <w:bookmarkEnd w:id="198"/>
        </w:tc>
      </w:tr>
      <w:tr>
        <w:trPr>
          <w:trHeight w:val="30" w:hRule="atLeast"/>
        </w:trPr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Пряжа и ткани льняные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5306, 5309</w:t>
            </w:r>
          </w:p>
        </w:tc>
      </w:tr>
      <w:tr>
        <w:trPr>
          <w:trHeight w:val="30" w:hRule="atLeast"/>
        </w:trPr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 и волокна химические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 –5406 00 000 0, 5501 – 5504</w:t>
            </w:r>
          </w:p>
        </w:tc>
      </w:tr>
      <w:tr>
        <w:trPr>
          <w:trHeight w:val="30" w:hRule="atLeast"/>
        </w:trPr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из синтетических и искусственных волокон и нитей, в т.ч. комплексных (включая штапельные)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 – 5408,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 – 5516</w:t>
            </w:r>
          </w:p>
          <w:bookmarkEnd w:id="199"/>
        </w:tc>
      </w:tr>
      <w:tr>
        <w:trPr>
          <w:trHeight w:val="30" w:hRule="atLeast"/>
        </w:trPr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Нитки швейные из химических волокон, пряжа из химических волокон (синтетических и искусственных)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 – 5511</w:t>
            </w:r>
          </w:p>
        </w:tc>
      </w:tr>
      <w:tr>
        <w:trPr>
          <w:trHeight w:val="30" w:hRule="atLeast"/>
        </w:trPr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Одеяла и пледы дорожные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</w:t>
            </w:r>
          </w:p>
        </w:tc>
      </w:tr>
      <w:tr>
        <w:trPr>
          <w:trHeight w:val="30" w:hRule="atLeast"/>
        </w:trPr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Белье постельное, столовое, туалетное и кухонное 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</w:t>
            </w:r>
          </w:p>
        </w:tc>
      </w:tr>
      <w:tr>
        <w:trPr>
          <w:trHeight w:val="30" w:hRule="atLeast"/>
        </w:trPr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Ковры и прочие текстильные напольные покрытия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 – 5705 00</w:t>
            </w:r>
          </w:p>
        </w:tc>
      </w:tr>
      <w:tr>
        <w:trPr>
          <w:trHeight w:val="30" w:hRule="atLeast"/>
        </w:trPr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Трикотажные полотна машинного или ручного вязания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 – 6006</w:t>
            </w:r>
          </w:p>
        </w:tc>
      </w:tr>
      <w:tr>
        <w:trPr>
          <w:trHeight w:val="30" w:hRule="atLeast"/>
        </w:trPr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Нетканые материалы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5602, 5603</w:t>
            </w:r>
          </w:p>
        </w:tc>
      </w:tr>
      <w:tr>
        <w:trPr>
          <w:trHeight w:val="30" w:hRule="atLeast"/>
        </w:trPr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материалы пропитанные, в том числе материалы кордные для шин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5902, из 5903, 5906,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5907 00 000 0 </w:t>
            </w:r>
          </w:p>
          <w:bookmarkEnd w:id="200"/>
        </w:tc>
      </w:tr>
      <w:tr>
        <w:trPr>
          <w:trHeight w:val="30" w:hRule="atLeast"/>
        </w:trPr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Трикотажные изделия, включая верхнюю одежду, нательное белье, свитеры, джемперы и аналогичные изделия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 – 6117</w:t>
            </w:r>
          </w:p>
        </w:tc>
      </w:tr>
      <w:tr>
        <w:trPr>
          <w:trHeight w:val="30" w:hRule="atLeast"/>
        </w:trPr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Одежда из текстильных материалов (кроме трикотажных), включая верхнюю одежду, нательное бельҰ и аналогичные изделия, кроме корсетных изделий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 – 6217</w:t>
            </w:r>
          </w:p>
        </w:tc>
      </w:tr>
      <w:tr>
        <w:trPr>
          <w:trHeight w:val="30" w:hRule="atLeast"/>
        </w:trPr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Головные уборы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 00 000 0 – 6506</w:t>
            </w:r>
          </w:p>
        </w:tc>
      </w:tr>
      <w:tr>
        <w:trPr>
          <w:trHeight w:val="30" w:hRule="atLeast"/>
        </w:trPr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одежды, принадлежности к одежде и прочие изделия, из натурального меха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</w:t>
            </w:r>
          </w:p>
        </w:tc>
      </w:tr>
      <w:tr>
        <w:trPr>
          <w:trHeight w:val="30" w:hRule="atLeast"/>
        </w:trPr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Выделанная кожа, в том числе замша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 – 4107, 4112 00 000 0 – 4114</w:t>
            </w:r>
          </w:p>
        </w:tc>
      </w:tr>
      <w:tr>
        <w:trPr>
          <w:trHeight w:val="30" w:hRule="atLeast"/>
        </w:trPr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и части обуви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 – 6406</w:t>
            </w:r>
          </w:p>
        </w:tc>
      </w:tr>
      <w:tr>
        <w:trPr>
          <w:trHeight w:val="30" w:hRule="atLeast"/>
        </w:trPr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Чемоданы, сумки дамские и аналогичные изделия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 Металлургическая промышленность</w:t>
            </w:r>
          </w:p>
        </w:tc>
      </w:tr>
      <w:tr>
        <w:trPr>
          <w:trHeight w:val="30" w:hRule="atLeast"/>
        </w:trPr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Стальной прокат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 – 7217, 7219 – 7223 00, 7225 – 7229</w:t>
            </w:r>
          </w:p>
        </w:tc>
      </w:tr>
      <w:tr>
        <w:trPr>
          <w:trHeight w:val="30" w:hRule="atLeast"/>
        </w:trPr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стальные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 00 – 7306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 Промышленность строительных материалов</w:t>
            </w:r>
          </w:p>
        </w:tc>
      </w:tr>
      <w:tr>
        <w:trPr>
          <w:trHeight w:val="30" w:hRule="atLeast"/>
        </w:trPr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 – 7004, 7006 00, 7007</w:t>
            </w:r>
          </w:p>
        </w:tc>
      </w:tr>
      <w:tr>
        <w:trPr>
          <w:trHeight w:val="30" w:hRule="atLeast"/>
        </w:trPr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Стекловолокно и стеклоткани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</w:t>
            </w:r>
          </w:p>
        </w:tc>
      </w:tr>
      <w:tr>
        <w:trPr>
          <w:trHeight w:val="30" w:hRule="atLeast"/>
        </w:trPr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Керамические плиты и плитки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6907</w:t>
            </w:r>
          </w:p>
        </w:tc>
      </w:tr>
      <w:tr>
        <w:trPr>
          <w:trHeight w:val="30" w:hRule="atLeast"/>
        </w:trPr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2523</w:t>
            </w:r>
          </w:p>
        </w:tc>
      </w:tr>
      <w:tr>
        <w:trPr>
          <w:trHeight w:val="30" w:hRule="atLeast"/>
        </w:trPr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Кирпичи строительные, блоки для полов, камни керамические несущие или для заполнения балочных конструкций и аналогичные изделия из керамики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</w:t>
            </w:r>
          </w:p>
        </w:tc>
      </w:tr>
      <w:tr>
        <w:trPr>
          <w:trHeight w:val="30" w:hRule="atLeast"/>
        </w:trPr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Санитарно-технические изделия из керамики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</w:t>
            </w:r>
          </w:p>
        </w:tc>
      </w:tr>
      <w:tr>
        <w:trPr>
          <w:trHeight w:val="30" w:hRule="atLeast"/>
        </w:trPr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термически полированное и стекло со шлифованной или полированной поверхностью, в листах, имеющее или не имеющее поглощающий, отражающий или неотражающий слой, но не обработанное иным способом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</w:t>
            </w:r>
          </w:p>
        </w:tc>
      </w:tr>
      <w:tr>
        <w:trPr>
          <w:trHeight w:val="30" w:hRule="atLeast"/>
        </w:trPr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Зеркала стеклянные, в рамах или без рам, включая зеркала заднего обзора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</w:t>
            </w:r>
          </w:p>
        </w:tc>
      </w:tr>
      <w:tr>
        <w:trPr>
          <w:trHeight w:val="30" w:hRule="atLeast"/>
        </w:trPr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Стеклопакеты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7008 00</w:t>
            </w:r>
          </w:p>
        </w:tc>
      </w:tr>
      <w:tr>
        <w:trPr>
          <w:trHeight w:val="30" w:hRule="atLeast"/>
        </w:trPr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закаленное, стекло многослойное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 Производство электрического оборудования</w:t>
            </w:r>
          </w:p>
        </w:tc>
      </w:tr>
      <w:tr>
        <w:trPr>
          <w:trHeight w:val="30" w:hRule="atLeast"/>
        </w:trPr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Лампы накаливания и светодиодные лампы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 Производство машин и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сельского и лесного хозяйства</w:t>
            </w:r>
          </w:p>
        </w:tc>
      </w:tr>
      <w:tr>
        <w:trPr>
          <w:trHeight w:val="30" w:hRule="atLeast"/>
        </w:trPr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 гусеничные и колесные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8701, из 8709</w:t>
            </w:r>
          </w:p>
        </w:tc>
      </w:tr>
      <w:tr>
        <w:trPr>
          <w:trHeight w:val="30" w:hRule="atLeast"/>
        </w:trPr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Комбайны зерноуборочные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8433</w:t>
            </w:r>
          </w:p>
        </w:tc>
      </w:tr>
      <w:tr>
        <w:trPr>
          <w:trHeight w:val="30" w:hRule="atLeast"/>
        </w:trPr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сельскохозяйственные, садовые или лесохозяйственные для подготовки и обработки почвы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VIII. Производство прочего транспортного оборудования</w:t>
            </w:r>
          </w:p>
        </w:tc>
      </w:tr>
      <w:tr>
        <w:trPr>
          <w:trHeight w:val="30" w:hRule="atLeast"/>
        </w:trPr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Цельнокатаные колеса для железнодорожного подвижного состава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8607</w:t>
            </w:r>
          </w:p>
        </w:tc>
      </w:tr>
    </w:tbl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Для целей применения настоящего перечня следует руководствоваться наименованием вида продукции, коды ТН ВЭД ЕАЭС приведены в справочных целях.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Основным направлениям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промышленного сотрудничества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 до 2025 года</w:t>
            </w:r>
          </w:p>
        </w:tc>
      </w:tr>
    </w:tbl>
    <w:bookmarkStart w:name="z211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взаимного информирования государств – членов Евразийского экономического союза и проведения консультаций в отношении чувствительных товаров</w:t>
      </w:r>
    </w:p>
    <w:bookmarkEnd w:id="203"/>
    <w:bookmarkStart w:name="z212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Настоящий Порядок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92 Договора о Евразийском экономическом союзе от 29 мая 2014 года в целях взаимного учета позиций государств – членов Евразийского экономического союза (далее соответственно – государства-члены, Союз) перед принятием мер промышленной политики в отношении чувствительных товаров по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Основным направлениям промышленного сотрудничества в рамках Евразийского экономического союза до 2025 года, утвержденным Решением Евразийского межправительственного совета от 30 апреля 2021 г. № 5 (далее – перечень чувствительных товаров), и определяет сроки и последовательность действий уполномоченных в области разработки нормативных правовых актов по вопросам реализации национальной промышленной политики органов государственной власти государств-членов (далее – уполномоченные органы) и Евразийской экономической комиссии (далее – Комиссия) при проведении консультаций в отношении чувствительных товаров (далее – консультации) и взаимном информировании государств-членов о планируемых направлениях реализации национальной промышленной политики (далее – взаимное информирование).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По предложению государства-члена и с согласия остальных государств-членов проведение консультаций и взаимное информирование могут осуществляться в отношении товаров, не включенных в перечень чувствительных товаров.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Проведение консультаций и взаимное информирование не препятствуют осуществлению государствами-членами внутригосударственного согласования проектов нормативных правовых актов и принятию ими таких актов.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Порядка под нормативными правовыми актами (проектами актов) понимаются нормативные правовые акты государств-членов в сфере промышленности, ведомственные акты органов государственной власти государств-членов (проекты таких актов), государственные и ведомственные программы (проекты таких программ) по вопросам реализации национальной промышленной политики.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При организации проведения консультаций и взаимном информировании государствами-членами и Комиссией при наличии технической возможности используются оперативные каналы связи (электронная почта, факсимильная связь).</w:t>
      </w:r>
    </w:p>
    <w:bookmarkEnd w:id="209"/>
    <w:bookmarkStart w:name="z218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Проведение консультаций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Консультации проводятся по предложениям уполномоченных органов.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по согласованию с государствами-членами может инициировать проведение консультаций в случае, если в отношении нормативных правовых актов (проектов актов) государствами-членами не было обеспечено предварительное информирование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17 </w:t>
      </w:r>
      <w:r>
        <w:rPr>
          <w:rFonts w:ascii="Times New Roman"/>
          <w:b w:val="false"/>
          <w:i w:val="false"/>
          <w:color w:val="000000"/>
          <w:sz w:val="28"/>
        </w:rPr>
        <w:t>настоящего Порядка.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Предложения о проведении консультаций направляются в Комиссию уполномоченным органом не позднее 20 рабочих дней до предлагаемой даты проведения консультаций.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Комиссия в течение 3 рабочих дней со дня получения предложения о проведении консультаций направляет соответствующую информацию в уполномоченные органы других государств-членов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указанием предлагаемой даты, места и формата проведения консультаций.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Уполномоченные органы в течение 7 рабочих дней со дня получения информации от Комиссии информируют Комиссию о согласовании предложения о проведении консультаций либо направляют свои предложения о проведении консультаций, а также информацию об участниках консультаций.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Информационное сопровождение консультаций (составление проекта протокола, рассылка информации о позициях государств-членов) осуществляется Комиссией. 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Консультации могут проводиться в рамках Консультативного комитета по промышленности и (или) на площадке Комиссии.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консультаций может осуществляться путем проведения заседания как в очном формате, так и в формате видеоконференции.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При проведении консультаций в формате видеоконференции организация видео-конференц-связи обеспечивается уполномоченными органами и Комиссией самостоятельно.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В консультациях могут принимать участие: 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от государств-членов – представители уполномоченных органов и иных заинтересованных органов, а также по приглашению уполномоченных органов – представители бизнес-сообществ, организаций-производителей и потребителей промышленной продукции, ассоциаций и иных объединений производителей и потребителей;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от Комиссии – представители департамента, к компетенции которого относятся вопросы промышленной политики, а также иных заинтересованных департаментов Комиссии.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По итогам проведения консультаций составляется протокол, который направляется государствам-членам в течение 5 рабочих дней с даты проведения консультаций.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По предложению государства-члена в ходе консультаций может быть рассмотрен вопрос о разработке и внесении в Комиссию заинтересованным государством-членом соответствующего проекта акта органа Союза.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Расходы, связанные с проведением консультаций, осуществляются государствами-членами и Комиссией самостоятельно.</w:t>
      </w:r>
    </w:p>
    <w:bookmarkEnd w:id="225"/>
    <w:bookmarkStart w:name="z234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Взаимное информирование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Государства-члены обеспечивают информирование уполномоченными органами Комиссии о планируемых направлениях реализации национальной промышленной политики в отношении чувствительных товаров путем направления проектов нормативных правовых актов, а также информации о них по форме согласно приложению.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Проекты нормативных правовых актов и информация о них направляются уполномоченными органами в Комиссию после согласования этих проектов нормативных правовых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заинтересованными органами государственной власти государств-членов, а проекты нормативных правовых актов, не требующих согласования с другими органами государственной власти государства-члена, и информация о них – после проведения внутриведомственного согласования.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в проекте нормативного правового акта предусмотрены меры субсидирования, соответствующие положениям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93 Договора о Евразийском экономическом союзе от 29 мая 2014 года, уполномоченным органом также представляется в Комиссию информация по формам,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10 декабря 2014 г. № 111.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Комиссия обеспечивает направление поступивших от уполномоченного органа проекта нормативного правового акта и информации о нем в уполномоченные органы других государств-членов в течение 3 рабочих дней со дня поступления в Комиссию указанных проекта и информации, а также вносит поступившие от уполномоченного органа проекты нормативных правовых актов и информацию о них в реестр нормативных правовых актов (проектов актов), принятых (разработанных) государствами-членами в отношении чувствительных товаров, размещенный в закрытом доступе на официальном сайте Союза.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Уполномоченные органы направляют в Комиссию замечания и предложения по поступившему проекту нормативного правового акта (при наличии) не позднее 20 рабочих дней со дня получения ими проекта акта и информации о нем или не позднее 20 рабочих дней со дня внесения проекта нормативного правового акта в реестр, указанный в пункте 18 настоящего Порядка.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Комиссия в течение 3 рабочих дней со дня получения от уполномоченных органов замечаний и предложений по поступившему проекту нормативного правового акта представляет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уполномоченный орган, представивший этот проект, который рассматривает их и не позднее 10 рабочих дней со дня получения замечаний и предложений представляет в Комиссию информацию о результатах их рассмотрения.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Комиссия в течение 3 рабочих дней со дня получения информации, указанной в пункте 20 настоящего Порядка, направляет ее в уполномоченные органы других государств-членов.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Информирование Комиссии и государств-членов о проектах нормативных правовых актов не препятствует прохождению процедуры внутригосударственного согласования и принятию этих актов государством-членом.</w:t>
      </w:r>
    </w:p>
    <w:bookmarkEnd w:id="2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взаимного информирования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 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и проведения консультаций в 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чувствительных товаров</w:t>
            </w:r>
          </w:p>
        </w:tc>
      </w:tr>
    </w:tbl>
    <w:bookmarkStart w:name="z244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</w:t>
      </w:r>
      <w:r>
        <w:br/>
      </w:r>
      <w:r>
        <w:rPr>
          <w:rFonts w:ascii="Times New Roman"/>
          <w:b/>
          <w:i w:val="false"/>
          <w:color w:val="000000"/>
        </w:rPr>
        <w:t>взаимного информирования государств – членов Евразийского экономического союза в отношении чувствительных товаров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2"/>
        <w:gridCol w:w="3140"/>
        <w:gridCol w:w="2114"/>
        <w:gridCol w:w="1233"/>
        <w:gridCol w:w="2334"/>
        <w:gridCol w:w="1233"/>
        <w:gridCol w:w="1014"/>
      </w:tblGrid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 нормативного правового акта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 (отрасль), в отношении которых будет применяться нормативный правовой акт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разработки, планируемая дата принятия нормативного правового 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принятия нормативного правового акта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мер промышленной политики, предусмотренных проектом нормативного правового акта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нормативного правового акта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информация*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*Указываются имеющиеся в распоряжении уполномоченного органа государственной власти государства – члена Евразийского экономического союза статистические данные по товару (отрасли), а также оценка влияния на отрасль мер, предусмотренных проектом нормативного правового акта, и иная информация.</w:t>
      </w:r>
    </w:p>
    <w:bookmarkEnd w:id="2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Основным направлениям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промышленного сотрудничества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 до 2025 года</w:t>
            </w:r>
          </w:p>
        </w:tc>
      </w:tr>
    </w:tbl>
    <w:bookmarkStart w:name="z248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индикаторов развития промышленности и кооперационного сотрудничества в рамках Евразийского экономического союза</w:t>
      </w:r>
    </w:p>
    <w:bookmarkEnd w:id="238"/>
    <w:bookmarkStart w:name="z249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 Индикаторы роста и структуры промышленного производства</w:t>
      </w:r>
    </w:p>
    <w:bookmarkEnd w:id="239"/>
    <w:bookmarkStart w:name="z25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Темпы роста промышленного производства в целом и в обрабатывающей промышленности в частности в сопоставимых ценах</w:t>
      </w:r>
    </w:p>
    <w:bookmarkEnd w:id="240"/>
    <w:bookmarkStart w:name="z25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Объемы роста производства промышленных товаров в целом и товаров обрабатывающей промышленности в частности государств – членов Евразийского экономического союза (далее соответственно – государства-члены, Союз) в отчетном периоде (в долларах США)</w:t>
      </w:r>
    </w:p>
    <w:bookmarkEnd w:id="241"/>
    <w:bookmarkStart w:name="z25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Доля обрабатывающей промышленности в структуре промышленности по валовой добавленной стоимости (в процентах)</w:t>
      </w:r>
    </w:p>
    <w:bookmarkEnd w:id="242"/>
    <w:bookmarkStart w:name="z25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Доля валовой добавленной стоимости обрабатывающей промышленности в валовом внутреннем продукте государств-членов (в процентах)</w:t>
      </w:r>
    </w:p>
    <w:bookmarkEnd w:id="243"/>
    <w:bookmarkStart w:name="z25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Доля высокотехнологичных промышленных видов деятельности в объеме производства товаров обрабатывающей промышленности (в процентах)</w:t>
      </w:r>
    </w:p>
    <w:bookmarkEnd w:id="244"/>
    <w:bookmarkStart w:name="z25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Темпы роста обрабатывающей промышленности государств-членов в сопоставимых ценах в сравнении с динамикой мировой обрабатывающей промышленности, а также стран Европейского союза, Соединенных Штатов Америки и Китайской Народной Республики (составляется таблица, в которой за 5 последних лет отражаются темпы роста производства товаров обрабатывающей промышленности государств-членов, стран Европейского союза, Соединенных Штатов Америки и Китайской Народной Республики)</w:t>
      </w:r>
    </w:p>
    <w:bookmarkEnd w:id="245"/>
    <w:bookmarkStart w:name="z25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Доля государств-членов в формировании добавленной стоимости мировой обрабатывающей промышленности в отчетном периоде</w:t>
      </w:r>
    </w:p>
    <w:bookmarkEnd w:id="246"/>
    <w:bookmarkStart w:name="z257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 Индикаторы эффективности работы обрабатывающей промышленности государств-членов</w:t>
      </w:r>
    </w:p>
    <w:bookmarkEnd w:id="247"/>
    <w:bookmarkStart w:name="z25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Производительность труда по валовой добавленной стоимости в обрабатывающей промышленности государств-членов в сравнении с мировым уровнем производительности труда в обрабатывающей промышленности</w:t>
      </w:r>
    </w:p>
    <w:bookmarkEnd w:id="248"/>
    <w:bookmarkStart w:name="z25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Темпы роста производительности труда по валовой добавленной стоимости в промышленности в целом и в обрабатывающей промышленности в частности государств-членов (в долларах США)</w:t>
      </w:r>
    </w:p>
    <w:bookmarkEnd w:id="249"/>
    <w:bookmarkStart w:name="z260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 Индикаторы использования потенциала рынка</w:t>
      </w:r>
    </w:p>
    <w:bookmarkEnd w:id="250"/>
    <w:bookmarkStart w:name="z261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промышленных товаров в рамках Союза</w:t>
      </w:r>
    </w:p>
    <w:bookmarkEnd w:id="251"/>
    <w:bookmarkStart w:name="z26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Изменение доли товаров обрабатывающей промышленности государств-членов на рынке промышленных товаров в рамках Союза в отчетном периоде по сравнению с предыдущим периодом (в процентных пунктах) (показатель рассчитывается по обрабатывающей промышленности в целом и в разрезе ее видов деятельности)</w:t>
      </w:r>
    </w:p>
    <w:bookmarkEnd w:id="252"/>
    <w:bookmarkStart w:name="z26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Доля импорта (промежуточного потребления) в стоимости произведенных товаров обрабатывающей промышленности государств-членов в отчетном периоде (в процентах)</w:t>
      </w:r>
    </w:p>
    <w:bookmarkEnd w:id="253"/>
    <w:bookmarkStart w:name="z264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 Индикаторы внешней торговли</w:t>
      </w:r>
    </w:p>
    <w:bookmarkEnd w:id="254"/>
    <w:bookmarkStart w:name="z26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Объем и темпы роста экспорта промышленных товаров в третьи страны (в долларах США)</w:t>
      </w:r>
    </w:p>
    <w:bookmarkEnd w:id="255"/>
    <w:bookmarkStart w:name="z26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Отношение экспорта промышленных товаров в третьи страны к объему производства промышленных товаров государствами-членами</w:t>
      </w:r>
    </w:p>
    <w:bookmarkEnd w:id="256"/>
    <w:bookmarkStart w:name="z26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Доля товаров высокотехнологичных отраслей в экспорте промышленных товаров государств-членов в третьи страны (в процентах)</w:t>
      </w:r>
    </w:p>
    <w:bookmarkEnd w:id="257"/>
    <w:bookmarkStart w:name="z26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Доля экспорта промышленных товаров государств-членов в третьи страны в общем объеме мирового экспорта (в процентах)</w:t>
      </w:r>
    </w:p>
    <w:bookmarkEnd w:id="258"/>
    <w:bookmarkStart w:name="z269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 Индикаторы кооперационного сотрудничества</w:t>
      </w:r>
    </w:p>
    <w:bookmarkEnd w:id="259"/>
    <w:bookmarkStart w:name="z27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Объем и темпы роста кооперационных поставок между государствами-членами</w:t>
      </w:r>
    </w:p>
    <w:bookmarkEnd w:id="260"/>
    <w:bookmarkStart w:name="z27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Объем и темпы роста кооперационных поставок в рамках торговли с третьими странами</w:t>
      </w:r>
    </w:p>
    <w:bookmarkEnd w:id="261"/>
    <w:bookmarkStart w:name="z27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Индекс производственной кооперации промышленности государств-членов, определенный как отношение объемов кооперационных поставок между государствами-членами к объему промышленного производства в обрабатывающей промышленности государств-членов</w:t>
      </w:r>
    </w:p>
    <w:bookmarkEnd w:id="262"/>
    <w:bookmarkStart w:name="z27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Объемы накопленных взаимных прямых инвестиций в рамках Союза</w:t>
      </w:r>
    </w:p>
    <w:bookmarkEnd w:id="263"/>
    <w:bookmarkStart w:name="z27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Индекс вовлеченности в глобальные мировые цепочки, определенный как отношение объема кооперационных поставок в рамках торговли с третьими странами к объему промышленного производства в государствах-членах</w:t>
      </w:r>
    </w:p>
    <w:bookmarkEnd w:id="2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