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409" w14:textId="e69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сельскохозяйственных растений, в отношении которых в государствах – членах Евразийского экономического союза имеется критическая зависимость от импорта семян и (или) посадочного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октября 2021 года № 95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7.2.2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 12, и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 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Определить, что в государствах – членах Евразийского экономического союза имеется критическая зависимость от импорта семян и (или) посадочного материала в отношении сельскохозяйственных растений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г. № 95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 растений, в отношении которых в государствах – членах Евразийского экономического союза имеется критическая зависимость от импорта семян и (или) посадочного материала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Сахарная свекла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Масличные культуры: подсолнечник, рапс, сафлор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Зерновые культуры: кукуруза, озимая рожь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Овощные и бахчевые культуры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Многолетние травы: люцерна, эспарцет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Плодовые и ягодные культуры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