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e409" w14:textId="e69e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сельскохозяйственных растений, в отношении которых в государствах – членах Евразийского экономического союза имеется критическая зависимость от импорта семян и (или) посадочного материала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октября 2021 года № 95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7.2.2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 12, и плана мероприятий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 4,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Определить, что в государствах – членах Евразийского экономического союза имеется критическая зависимость от импорта семян и (или) посадочного материала в отношении сельскохозяйственных растений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Жапаров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2021 г. № 95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 растений, в отношении которых в государствах – членах Евразийского экономического союза имеется критическая зависимость от импорта семян и (или) посадочного материала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Сахарная свекла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Масличные культуры: подсолнечник, рапс, сафлор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Зерновые культуры: кукуруза, озимая рожь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Овощные и бахчевые культуры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Многолетние травы: люцерна, эспарцет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Плодовые и ягодные культуры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