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7727" w14:textId="0027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маркировки табачной (никотинсодержащей) продукции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2021 года № 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 19 (далее – базовая модель),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нецелесообразным введение маркировки средствами идентификации в рамках Евразийского экономического союза табачной (никотинсодержащей) продукции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особенностями производства и оборота данной продукции.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 Установить, что государства – члены Евразийского экономического союза вводят маркировку средствами идентификации табачной (никотинсодержащей) продукции, включенной в перечень, предусмотренный настоящим Решением, в соответствии со своим законодательством без учета положений базовой модели.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г. № 44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табачной (никотинсодержащей) продукции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решениями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. (вступает в силу с 01.01.2022); от 15.07.2022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26.11.2025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сигары с обрезанными концами, сигариллы и сигареты из табака или его заменителей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табак "гомогенизированный" или "восстановленный"; табачные экстракты и эссенции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содержащая табак, восстановленный табак, никотин, или заменители табака или никотина, предназначенная для вдыхания без горения; прочая продукция, содержащая никотин и предназначенная для поступления никотина в организм человека"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настоящего перечня следует руководствоваться исключительно кодом ТН ВЭД ЕАЭС, наименование товара приведено только для удобства пользования.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