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3a53" w14:textId="80e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маркировки алкогольной продукции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43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 19 (далее – базовая модель),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нецелесообразным введение маркировки средствами идентификации в рамках Евразийского экономического союза алкогольной продукции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особенностями производства и оборота данной продукции.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 Установить, что государства – члены Евразийского экономического союза вводят маркировку средствами идентификации алкогольной продукции, включенной в перечень, предусмотренный настоящим Решением, в соответствии со своим законодательством без учета положений базовой модели.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г. № 43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алкогольной 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 (кроме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2204 30)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2208 20 120 0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2208 20 620 0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2208 20 140 0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2208 20 640 0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Арманьяк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2208 20 260 0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2208 20 860 0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Граппа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2208 20 270 0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2208 20 870 0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Хересный бренди (Brandy de Jerez)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2208 20 290 0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2208 20 890 0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спиртовые настойки, полученные в результате дистилляции виноградного вина или выжимок винограда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и прочие спиртовые настойки, полученные в результате дистилляции сброженных продуктов из сахарного тростника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и можжевеловая настойка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спиртные напитки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