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3a53" w14:textId="80e3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маркировки алкогольной продукции средствами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апреля 2021 года № 43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базовой технологической организационной модели системы маркировки товаров средствами идентификации в Евразийском экономическом союзе, утвержденной Решением Совета Евразийской экономической комиссии от 5 марта 2021 г. № 19 (далее – базовая модель),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нецелесообразным введение маркировки средствами идентификации в рамках Евразийского экономического союза алкогольной продукции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особенностями производства и оборота данной продукции.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 Установить, что государства – члены Евразийского экономического союза вводят маркировку средствами идентификации алкогольной продукции, включенной в перечень, предусмотренный настоящим Решением, в соответствии со своим законодательством без учета положений базовой модели.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Кармышаков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г. № 43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алкогольной продукции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 (кроме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2204 30)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Вермуты и виноградные натуральные вина прочие с добавлением растительных или ароматических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прочие сброженные (например, сидр, сидр грушевый, напиток медовый, сакэ); смеси из сброженных напитков и смеси сброженных напитков и безалкогольных напитков, в другом месте не поименованные или не включенные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2208 20 120 0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2208 20 620 0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2208 20 140 0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2208 20 640 0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Арманьяк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2208 20 260 0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2208 20 860 0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Граппа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2208 20 270 0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2208 20 870 0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Хересный бренди (Brandy de Jerez)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2208 20 290 0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2208 20 890 0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спиртовые настойки, полученные в результате дистилляции виноградного вина или выжимок винограда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 и прочие спиртовые настойки, полученные в результате дистилляции сброженных продуктов из сахарного тростника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 и можжевеловая настойка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спиртные напитки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