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4369" w14:textId="f0d4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Евразийской части Совместной комиссии, учрежденной в соответствии со статьей 12.1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апреля 2021 года № 23.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части Совместной комиссии, учрежденной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г. № 23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Евразийской части Совместной комиссии, учрежденной в соответствии со статьей 12.1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Настоящее Положение устанавливает цели, функции, структуру и порядок работы Евразийской части Совместной комиссии, созданной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 (далее соответственно – Евразийская часть Совместной комиссии, Совместная комиссия, Соглашение).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Евразийская часть Совместной комиссии в своей деятельности руководствуется Соглашением,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международными договорами и актами, составляющими право Евразийского экономического союза (далее – Союз), решениями и рекомендациями Совместной комиссии.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цели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Евразийская часть Совместной комиссии осуществляет свою деятельность в целях: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обеспечения эффективной реализации Соглашения;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качественной и своевременной подготовки материалов и согласованной позиции Союза и государств – членов Союза (далее – государства-члены) к заседаниям Совместной комиссии, подкомитетов и </w:t>
      </w:r>
      <w:r>
        <w:rPr>
          <w:rFonts w:ascii="Times New Roman"/>
          <w:b w:val="false"/>
          <w:i/>
          <w:color w:val="000000"/>
          <w:sz w:val="28"/>
        </w:rPr>
        <w:t xml:space="preserve">ad hoc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рабочих групп, созданных в соответствии с Соглашением (далее – подкомитеты и </w:t>
      </w:r>
      <w:r>
        <w:rPr>
          <w:rFonts w:ascii="Times New Roman"/>
          <w:b w:val="false"/>
          <w:i/>
          <w:color w:val="000000"/>
          <w:sz w:val="28"/>
        </w:rPr>
        <w:t>ad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hoc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рабочие группы), а также к консультациям, проводимым по запросу Союза и государств-членов или Китайской Народной Республики по вопросам, регулируемым Соглашением или связанным с ним (далее – консультации);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обеспечения эффективной реализации решений и рекомендаций Совместной комиссии, договоренностей, зафиксированных в протоколах заседаний Совместной комиссии, подкомитетов и </w:t>
      </w:r>
      <w:r>
        <w:rPr>
          <w:rFonts w:ascii="Times New Roman"/>
          <w:b w:val="false"/>
          <w:i/>
          <w:color w:val="000000"/>
          <w:sz w:val="28"/>
        </w:rPr>
        <w:t>ad hoc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рабочих групп, а также договоренностей, достигнутых по итогам консультаций;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координации подходов Союза к сопряжению Союза с китайской инициативой "Один пояс – один путь", принимая во внимание сопряжение Союза и инициативы "Один пояс – один путь" как ключевой элемент формирования Большого Евразийского партнерства.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Функции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Евразийская часть Совместной комиссии осуществляет следующие функции: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формирование и согласование проектов повестки дня заседаний Совместной комиссии, подкомитетов и ad hoc рабочих групп, консультаций.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повестки дня заседаний Совместной комиссии, подкомитетов и ad hoc рабочих групп, консультаций формируются на основе предложений, поступивших от уполномоченных органов государств-членов и от Китайской Народной Республики.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должны содержать: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характеристику вопроса с обоснованием целесообразности включения в повестку дня;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справочные и аналитические материалы;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решения или рекомендации Совместной комиссии (в случае необходимости);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выработка и согласование позиции Союза и государств-членов по вопросам повестки дня заседаний Совместной комиссии, подкомитетов и ad hoc рабочих групп, консультаций;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согласование проектов решений и рекомендаций Совместной комиссии, проектов протоколов заседаний Совместной комиссии, подкомитетов и ad hoc рабочих групп;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подготовка справочных материалов и документов по вопросам повестки дня заседаний Совместной комиссии, подкомитетов и ad hoc рабочих групп, консультаций;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обеспечение реализации решений и рекомендаций Совместной комиссии, договоренностей, зафиксированных в протоколах заседаний Совместной комиссии, подкомитетов и ad hoc рабочих групп, а также договоренностей, достигнутых по итогам консультаций;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разработка и обеспечение реализации планов ("дорожных карт") по развитию торгово-экономического сотрудничества Союза и его государств-членов с Китайской Народной Республикой;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формирование и ведение перечня имеющих интеграционную направленность и отвечающих задачам укрепления Союза приоритетных проектов отраслевого сотрудничества (банка данных интеграционных проектов), реализуемых и планируемых к реализации в рамках сопряжения Союза с китайской инициативой "Один пояс – один путь", как одного из результатов реализации Соглашения;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осуществление иных функций для эффективной реализации Соглашения.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Структура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Председателем Евразийской части Совместной комиссии является член Коллегии (Министр) по торговле Евразийской экономической комиссии, сопредседатель Совместной комиссии со стороны Союза и государств-членов.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Председатель Евразийской части Совместной комиссии по представлению государств-членов утверждает состав Евразийской части Совместной комиссии в части должностных лиц уполномоченных органов государств-членов на уровне не ниже заместителей руководителей.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представлению председателя Евразийской части Совместной комиссии и государств-членов в работе Евразийской части Совместной комиссии также принимают участие представители уполномоченных органов государств-членов и должностные лица Евразийской экономической комиссии.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Функции секретариата Евразийской части Совместной комиссии выполняет Департамент торговой политики Евразийской экономической комиссии, определенный контактным пунктом по любым вопросам, регулируемым Соглашением или связанным с ним. 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Порядок работы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заседаниях Евразийской части Совместной комиссии и заседаниях Совместной комиссии участвуют члены Евразийской части Совместной комиссии, в полномочия которых входят вопросы, включенные в повестку дня соответствующего заседания.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Заседания Евразийской части Совместной комиссии проводятся не реже 2 раз в год, а также по запросу председателя Евразийской части Совместной комиссии в целях координации подходов Союза к сопряжению Союза с китайской инициативой "Один пояс – один путь", принимая во внимание сопряжение Союза и инициативы "Один пояс – один путь" как ключевой элемент формирования Большого Евразийского партнерства, а также для выполнения функций в соответствии с подпунктами "е" – "з" пункта 5 настоящего Положения.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 по вопросам, включенным в повестку дня заседания Евразийской части Совместной комиссии, принимаются членами Евразийской части Совместной комиссии консенсусом.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Для обеспечения выполнения функций в соответствии с пунктом 5 настоящего Положения секретариат Евразийской части Совместной комиссии заблаговременно организует совещания на уровне должностных лиц Евразийской экономической комиссии и представителей уполномоченных органов государств-членов и предоставляет необходимые материалы.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Полномочия председателя Евразийской части Совместной комиссии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Председатель Евразийской части Совместной комиссии с целью обеспечения эффективной реализации Евразийской частью Совместной комиссии своих функций: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представляет предложения по любым вопросам реализации Соглашения;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инициирует заседания Евразийской части Совместной комиссии, в том числе с привлечением представителей бизнес-сообществ государств-членов. Представители бизнес-сообщества государства-члена приглашаются по согласованию с этим государством-членом;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как сопредседатель Совместной комиссии со стороны Союза и государств-членов: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Союз и государства-члены на заседаниях Совместной комиссии;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протоколы заседаний Совместной комиссии;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осуществляет иные действия для обеспечения реализации Евразийской частью Совместной комиссии своих функций. 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Функции секретариата Евразийской части Совместной комиссии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Для достижения целей и реализации функций Евразийской части Совместной комиссии секретариат Евразийской части Совместной комиссии: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взаимодействует с Евразийской частью Совместной комиссии для обеспечения выполнения ею своих функций;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организует заседания Евразийской части Совместной комиссии;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организует совещания на уровне представителей уполномоченных органов государств-членов и должностных лиц Евразийской экономической комиссии;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взаимодействует с Китайской Народной Республикой по любым вопросам, регулируемым Соглашением или связанным с ним;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осуществляет подготовку проектов решений и рекомендаций Совместной комиссии, проектов повестки дня и протоколов заседаний Совместной комиссии, подкомитетов и </w:t>
      </w:r>
      <w:r>
        <w:rPr>
          <w:rFonts w:ascii="Times New Roman"/>
          <w:b w:val="false"/>
          <w:i/>
          <w:color w:val="000000"/>
          <w:sz w:val="28"/>
        </w:rPr>
        <w:t>ad hoc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рабочих групп;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осуществляет мониторинг выполнения решений и рекомендаций Совместной комиссии, договоренностей, зафиксированных в протоколах заседаний Совместной комиссии, подкомитетов и </w:t>
      </w:r>
      <w:r>
        <w:rPr>
          <w:rFonts w:ascii="Times New Roman"/>
          <w:b w:val="false"/>
          <w:i/>
          <w:color w:val="000000"/>
          <w:sz w:val="28"/>
        </w:rPr>
        <w:t>ad hoc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рабочих групп, с последующим докладом Евразийской части Совместной комиссии;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организует рассмотрение обращений уполномоченных органов, а также представителей бизнес-сообществ государств-членов по вопросам торгово-экономического сотрудничества Союза и государств-членов с Китайской Народной Республикой;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 координирует организацию заседаний Совместной комиссии, подкомитетов и </w:t>
      </w:r>
      <w:r>
        <w:rPr>
          <w:rFonts w:ascii="Times New Roman"/>
          <w:b w:val="false"/>
          <w:i/>
          <w:color w:val="000000"/>
          <w:sz w:val="28"/>
        </w:rPr>
        <w:t xml:space="preserve">ad hoc </w:t>
      </w:r>
      <w:r>
        <w:rPr>
          <w:rFonts w:ascii="Times New Roman"/>
          <w:b w:val="false"/>
          <w:i w:val="false"/>
          <w:color w:val="000000"/>
          <w:sz w:val="28"/>
        </w:rPr>
        <w:t>рабочих групп, проведения консультаций;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обеспечивает перевод с русского языка на английский язык и с английского языка на русский язык устных заявлений в ходе заседаний Совместной комиссии, а также неофициальный перевод документов, получаемых и направляемых в рамках заседаний Совместной комиссии.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