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3848" w14:textId="04f3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января 2021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 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109, дополнить пунктом 12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 Морские суда (коды 8904 00 100 0 и 8906 90 100 0 ТН ВЭД ЕАЭС), находящиеся в собственности иностранных лиц, зафрахтованные лицами государств – членов Евразийского экономического союза по договору тайм-чартера или бербоут-чартера и используемые при проведении геолого-разведочных работ, при условии их помещения под таможенную процедуру временного ввоза (допуска) в период с 1 июля 2020 г. до 31 декабря 2024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морских судов – 1 год со дня помещения под такую таможенную процедуру.".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