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1d78" w14:textId="1d21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w:t>
      </w:r>
    </w:p>
    <w:p>
      <w:pPr>
        <w:spacing w:after="0"/>
        <w:ind w:left="0"/>
        <w:jc w:val="both"/>
      </w:pPr>
      <w:r>
        <w:rPr>
          <w:rFonts w:ascii="Times New Roman"/>
          <w:b w:val="false"/>
          <w:i w:val="false"/>
          <w:color w:val="000000"/>
          <w:sz w:val="28"/>
        </w:rPr>
        <w:t>Решение Коллегии Евразийской экономической комиссии от 29 ноября 2021 года № 165.</w:t>
      </w:r>
    </w:p>
    <w:p>
      <w:pPr>
        <w:spacing w:after="0"/>
        <w:ind w:left="0"/>
        <w:jc w:val="left"/>
      </w:pPr>
    </w:p>
    <w:bookmarkStart w:name="z4" w:id="0"/>
    <w:p>
      <w:pPr>
        <w:spacing w:after="0"/>
        <w:ind w:left="0"/>
        <w:jc w:val="both"/>
      </w:pPr>
      <w:r>
        <w:rPr>
          <w:rFonts w:ascii="Times New Roman"/>
          <w:b w:val="false"/>
          <w:i w:val="false"/>
          <w:color w:val="000000"/>
          <w:sz w:val="28"/>
        </w:rPr>
        <w:t xml:space="preserve">
      В целях реализации подпункта "в" </w:t>
      </w:r>
      <w:r>
        <w:rPr>
          <w:rFonts w:ascii="Times New Roman"/>
          <w:b w:val="false"/>
          <w:i w:val="false"/>
          <w:color w:val="000000"/>
          <w:sz w:val="28"/>
        </w:rPr>
        <w:t>пункта 2</w:t>
      </w:r>
      <w:r>
        <w:rPr>
          <w:rFonts w:ascii="Times New Roman"/>
          <w:b w:val="false"/>
          <w:i w:val="false"/>
          <w:color w:val="000000"/>
          <w:sz w:val="28"/>
        </w:rPr>
        <w:t xml:space="preserve">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Решением Коллегии Евразийской экономической комиссии от 25 декабря 2012 г. № 294, в соответствии с пунктом 8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8</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В позициях 1 – 4 </w:t>
      </w:r>
      <w:r>
        <w:rPr>
          <w:rFonts w:ascii="Times New Roman"/>
          <w:b w:val="false"/>
          <w:i w:val="false"/>
          <w:color w:val="000000"/>
          <w:sz w:val="28"/>
        </w:rPr>
        <w:t>перечня</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 утвержденного Решением Коллегии Евразийской экономической комиссии от 22 января 2019 г. № 12, код "7419 99 900 0" ТН ВЭД ЕАЭС заменить кодом "7419 80 000 0" ТН ВЭД ЕАЭС, код "8108 90 900 9" ТН ВЭД ЕАЭС заменить кодом "8108 90 900 8" ТН ВЭД ЕАЭС.</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января 2022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