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1d78" w14:textId="1d21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оборудования, работающего под избыточным давлением" (ТР ТС 032/2013)</w:t>
      </w:r>
    </w:p>
    <w:p>
      <w:pPr>
        <w:spacing w:after="0"/>
        <w:ind w:left="0"/>
        <w:jc w:val="both"/>
      </w:pPr>
      <w:r>
        <w:rPr>
          <w:rFonts w:ascii="Times New Roman"/>
          <w:b w:val="false"/>
          <w:i w:val="false"/>
          <w:color w:val="000000"/>
          <w:sz w:val="28"/>
        </w:rPr>
        <w:t>Решение Коллегии Евразийской экономической комиссии от 29 ноября 2021 года № 165.</w:t>
      </w:r>
    </w:p>
    <w:p>
      <w:pPr>
        <w:spacing w:after="0"/>
        <w:ind w:left="0"/>
        <w:jc w:val="left"/>
      </w:pPr>
    </w:p>
    <w:bookmarkStart w:name="z4" w:id="0"/>
    <w:p>
      <w:pPr>
        <w:spacing w:after="0"/>
        <w:ind w:left="0"/>
        <w:jc w:val="both"/>
      </w:pPr>
      <w:r>
        <w:rPr>
          <w:rFonts w:ascii="Times New Roman"/>
          <w:b w:val="false"/>
          <w:i w:val="false"/>
          <w:color w:val="000000"/>
          <w:sz w:val="28"/>
        </w:rPr>
        <w:t xml:space="preserve">
      В целях реализации подпункта "в" </w:t>
      </w:r>
      <w:r>
        <w:rPr>
          <w:rFonts w:ascii="Times New Roman"/>
          <w:b w:val="false"/>
          <w:i w:val="false"/>
          <w:color w:val="000000"/>
          <w:sz w:val="28"/>
        </w:rPr>
        <w:t>пункта 2</w:t>
      </w:r>
      <w:r>
        <w:rPr>
          <w:rFonts w:ascii="Times New Roman"/>
          <w:b w:val="false"/>
          <w:i w:val="false"/>
          <w:color w:val="000000"/>
          <w:sz w:val="28"/>
        </w:rPr>
        <w:t xml:space="preserve"> Положения о порядке ввоза на таможенную территорию Таможенного союза продукции (товаров), в отношении которой устанавливаются обязательные требования в рамках Таможенного союза, утвержденного Решением Коллегии Евразийской экономической комиссии от 25 декабря 2012 г. № 294, в соответствии с пунктом 8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w:t>
      </w:r>
      <w:r>
        <w:rPr>
          <w:rFonts w:ascii="Times New Roman"/>
          <w:b w:val="false"/>
          <w:i w:val="false"/>
          <w:color w:val="000000"/>
          <w:sz w:val="28"/>
        </w:rPr>
        <w:t>пунктом 8</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xml:space="preserve">
      1. В позициях 1 – 4 </w:t>
      </w:r>
      <w:r>
        <w:rPr>
          <w:rFonts w:ascii="Times New Roman"/>
          <w:b w:val="false"/>
          <w:i w:val="false"/>
          <w:color w:val="000000"/>
          <w:sz w:val="28"/>
        </w:rPr>
        <w:t>перечня</w:t>
      </w:r>
      <w:r>
        <w:rPr>
          <w:rFonts w:ascii="Times New Roman"/>
          <w:b w:val="false"/>
          <w:i w:val="false"/>
          <w:color w:val="000000"/>
          <w:sz w:val="28"/>
        </w:rPr>
        <w:t xml:space="preserve">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оборудования, работающего под избыточным давлением" (ТР ТС 032/2013), утвержденного Решением Коллегии Евразийской экономической комиссии от 22 января 2019 г. № 12, код "7419 99 900 0" ТН ВЭД ЕАЭС заменить кодом "7419 80 000 0" ТН ВЭД ЕАЭС, код "8108 90 900 9" ТН ВЭД ЕАЭС заменить кодом "8108 90 900 8" ТН ВЭД ЕАЭС.</w:t>
      </w:r>
    </w:p>
    <w:bookmarkEnd w:id="1"/>
    <w:bookmarkStart w:name="z6" w:id="2"/>
    <w:p>
      <w:pPr>
        <w:spacing w:after="0"/>
        <w:ind w:left="0"/>
        <w:jc w:val="both"/>
      </w:pPr>
      <w:r>
        <w:rPr>
          <w:rFonts w:ascii="Times New Roman"/>
          <w:b w:val="false"/>
          <w:i w:val="false"/>
          <w:color w:val="000000"/>
          <w:sz w:val="28"/>
        </w:rPr>
        <w:t>
      2. Настоящее Решение вступает в силу с 1 января 2022 г.</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