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081c" w14:textId="afe0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типовых требованиях к обустройству и техническому оснащению элементов таможенной инфраструктуры, расположенных в местах перемещения товаров через таможенную границу Евразийского экономического союза, системой радиационного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ноября 2021 года № 145.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обустройству и техническому оснащению элементов таможенной инфраструктуры, расположенных в местах перемещения товаров через таможенную границу Евразийского экономического союза, системой радиационного контроля.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6 месяцев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г. № 145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обустройству и техническому оснащению элементов таможенной инфраструктуры, расположенных в местах перемещения товаров через таможенную границу Евразийского экономического союза, системой радиационного контроля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Типовые требования определяют требования к обустройству и техническому оснащению вновь строящихся или реконструируемых зданий, сооружений, помещений, открытых площадок, оснащенных техническими средствами таможенного контроля, инженерными, информационными, телекоммуникационными системами и средствами их обеспечения (элементы таможенной инфраструктуры), расположенных в местах перемещения товаров через таможенную границу Евразийского экономического союза (далее – Союз), системой радиационного контроля, предназначенной для предотвращения незаконного перемещения ядерных и радиоактивных материалов (далее – ЯРМ), а также для предотвращения перемещения иных товаров с нарушением радиационных требований.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Элементы таможенной инфраструктуры, расположенные в местах перемещения товаров через таможенную границу Союза, обустраиваются и технически оснащаются с учетом особенностей их функционального назначения, связанных с обеспечением деятельности таможенных органов, системой радиационного контроля, которая состоит из: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стационарной аппаратуры радиационного контроля;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переносной поисковой аппаратуры радиационного контроля;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аппаратуры идентификации ЯРМ;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аппаратуры индивидуальной дозиметрии;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аппаратуры оценки степени радиационной опасности.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Стационарная аппаратура радиационного контроля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Стационарная аппаратура радиационного контроля (далее в настоящем разделе – аппаратура) предназначена для обнаружения незаконно перемещаемых через таможенную границу Союза ЯРМ, а также для обнаружения иных товаров, перемещаемых с нарушением радиационных требований.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Аппаратура применяется в отношении товаров, транспортных средств и физических лиц в местах прибытия товаров на таможенную территорию Союза и в местах убытия товаров с таможенной территории Союза.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Параметрами аппаратуры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обнаружение с вероятностью не менее 0,5 (при доверительной вероятности 0,95) ЯРМ, перемещаемых со скоростью 5 км/ч (для пешеходной аппаратуры), 8 – 10 км/ч (для автомобильной аппаратуры), 25 км/ч (для железнодорожной аппаратуры) в количествах, указанных в таблицах 1 и (или) 2.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аппаратуры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порога обнаружения ядерных материалов (г)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 оружейного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оружейного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 оружейного качества в свинцовой защите толщиной 4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аппаратуры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порога обнаружения радиоактивных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гамма- и нейтронному излучению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Со, кБк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Ва, кБк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Cs, кБк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Co, кБк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Cm),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диапазон регистрируемой энергии излучения аппаратуры: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гамма-излучению – от 0,05 до 3 МэВ;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нейтронному излучению – от 0,025 эВ до 14 МэВ;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частота ложных срабатываний аппаратуры при максимальной чувствительности – не более 1 срабатывания на 1 000 событий;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непрерывный режим работы аппаратуры;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питание аппаратуры от электросети переменного тока частотой 50 ± 1 Гц и напряжением от 187 до 242 В или от аккумулятора, обеспечивающего работоспособность аппаратуры при отключении от сети питания не менее чем на 10 часов;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установленный срок эксплуатации аппаратуры – не менее 10 лет;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рабочий диапазон температур: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аппаратуры, размещаемой на открытом пространстве и под навесами, – не ниже минус 50 и не выше 50 ○С при относительной влажности воздуха до 95 процентов;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аппаратуры, размещаемой в помещениях, – не ниже минус 10 и не выше 40 ○С при относительной влажности воздуха до 95 процентов.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диапазон температур аппаратуры определяется с учетом климатических условий государств – членов Союза.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Аппаратура выполняет следующие основные функции: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непрерывный сбор информации с блоков детектирования, входящих в комплект аппаратуры;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автоматическая регистрация событий (с указанием времени и параметров события);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хранение информации и выведение ее на табло аппаратуры и на внешние устройства (принтер, компьютер) при их подключении;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формирование и передача управляющего воздействия на устройства световой и звуковой сигнализации аппаратуры;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автоматический контроль работоспособности аппаратуры;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формирование сигнала тревоги системы контроля аппаратуры.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Переносная поисковая аппаратура радиационного контроля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Переносная поисковая аппаратура радиационного контроля (далее в настоящем разделе – аппаратура) предназначена для поиска, обнаружения и локализации незаконно перемещаемых через таможенную границу Союза ЯРМ, а также для обнаружения иных товаров, перемещаемых с нарушением радиационных требований.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Аппаратура должна быть компактной для постоянного (в том числе скрытого) ношения.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Параметрами аппаратуры являются: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обнаружение с вероятностью не хуже 0,5 (при доверительной вероятности 0,9) ЯРМ, перемещаемых со скоростью 0,5 м/с на расстоянии 1 м от аппаратуры в количествах, указанных в таблицах 3 и (или) 4.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порога обнаружения ядерных материалов (г)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 оружейного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оружейного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 оружейного качества в свинцовой защите толщиной 4 см (на расстоянии 20 см)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аппаратуры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порога обнаружения радиоактивных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гамма- и нейтронному излучению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Ва,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Cs,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Co,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Cm),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 расстоянии 20 см)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Поисковая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диапазон регистрируемой энергии фотонного излучения – от 0,05 до 3 МэВ;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диапазон регистрируемой энергии нейтронного излучения – от 0,025 эВ до 14 МэВ;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диапазон измерений мощности амбиентного эквивалента дозы внешнего фотонного излучения – от 0,1 до 100,0 мкЗв/ч;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предел основной относительной погрешности измерений мощности амбиентного эквивалента дозы внешнего фотонного излучения (далее – МАЭД) гамма-излучения по линии 137Cs – ± 20 процентов;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время непрерывной работы аппаратуры – не менее 100 часов;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срок службы аппаратуры – не менее 8 лет;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вес аппаратуры – не более 2 кг;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частота ложных срабатываний аппаратуры при максимальной чувствительности – не более 1 срабатывания на 1 000 событий;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рабочий диапазон температур аппаратуры – не ниже минус 30 и не выше 50 ○С при относительной влажности воздуха до 95 процентов.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Аппаратура выполняет следующие основные функции: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поиск, обнаружение и локализация ЯРМ, перемещаемых через таможенную границу Союза, путем измерения превышения скорости текущего счета гамма- и нейтронного излучения над скоростью счета радиационного фона;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измерение МАЭД гамма-излучения иных товаров, перемещаемых с нарушением радиационных требований;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установка порога срабатывания (количество среднеквадратичных отклонений текущего гамма- и нейтронного фона);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автоматическая регистрация событий (с указанием времени и параметров события), хранение информации и ее передача на компьютер;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автоматический контроль работоспособности аппаратуры.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Аппаратура идентификации ЯРМ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Аппаратура идентификации ЯРМ (далее в настоящем разделе – аппаратура) предназначена для комплексного поиска, обнаружения, локализации и идентификации ЯРМ и товаров, перемещаемых с нарушением радиационных требований по гамма-, нейтронному, альфа- и бета-излучению, а также для измерения мощности экспозиционной дозы гамма- и нейтронного излучения, измерения плотности потоков альфа- и бета-излучений.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Параметрами аппаратуры являются: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характеристики не хуже значений, указанных в таблице 5.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Энергетический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Альфа-излучение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(смˉ²мин.ˉ¹)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10 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 излучение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(смˉ²мин.ˉ¹)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2×10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3 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 излучение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экспозиционной дозы (мкЗв/ч)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–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– 3 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Нейтронное излучение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прибора к нейтронному излучению (имп./см²)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замедли-телем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эВ – 14 МэВ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обеспечение автономного проведения идентификации по гамма-излучению следующих радионуклидов без их дополнительной компьютерной обработки: </w:t>
      </w:r>
      <w:r>
        <w:rPr>
          <w:rFonts w:ascii="Times New Roman"/>
          <w:b w:val="false"/>
          <w:i w:val="false"/>
          <w:color w:val="000000"/>
          <w:vertAlign w:val="superscript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 xml:space="preserve">U, U (оружейного качества), </w:t>
      </w:r>
      <w:r>
        <w:rPr>
          <w:rFonts w:ascii="Times New Roman"/>
          <w:b w:val="false"/>
          <w:i w:val="false"/>
          <w:color w:val="000000"/>
          <w:vertAlign w:val="superscript"/>
        </w:rPr>
        <w:t>233</w:t>
      </w:r>
      <w:r>
        <w:rPr>
          <w:rFonts w:ascii="Times New Roman"/>
          <w:b w:val="false"/>
          <w:i w:val="false"/>
          <w:color w:val="000000"/>
          <w:sz w:val="28"/>
        </w:rPr>
        <w:t xml:space="preserve">U, </w:t>
      </w:r>
      <w:r>
        <w:rPr>
          <w:rFonts w:ascii="Times New Roman"/>
          <w:b w:val="false"/>
          <w:i w:val="false"/>
          <w:color w:val="000000"/>
          <w:vertAlign w:val="superscript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U, </w:t>
      </w:r>
      <w:r>
        <w:rPr>
          <w:rFonts w:ascii="Times New Roman"/>
          <w:b w:val="false"/>
          <w:i w:val="false"/>
          <w:color w:val="000000"/>
          <w:vertAlign w:val="superscript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Pu, Pu (оружейного качества), </w:t>
      </w:r>
      <w:r>
        <w:rPr>
          <w:rFonts w:ascii="Times New Roman"/>
          <w:b w:val="false"/>
          <w:i w:val="false"/>
          <w:color w:val="000000"/>
          <w:vertAlign w:val="superscript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Th, </w:t>
      </w:r>
      <w:r>
        <w:rPr>
          <w:rFonts w:ascii="Times New Roman"/>
          <w:b w:val="false"/>
          <w:i w:val="false"/>
          <w:color w:val="000000"/>
          <w:vertAlign w:val="superscript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Ra, </w:t>
      </w:r>
      <w:r>
        <w:rPr>
          <w:rFonts w:ascii="Times New Roman"/>
          <w:b w:val="false"/>
          <w:i w:val="false"/>
          <w:color w:val="000000"/>
          <w:vertAlign w:val="superscript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Co, </w:t>
      </w:r>
      <w:r>
        <w:rPr>
          <w:rFonts w:ascii="Times New Roman"/>
          <w:b w:val="false"/>
          <w:i w:val="false"/>
          <w:color w:val="000000"/>
          <w:vertAlign w:val="superscript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Co, </w:t>
      </w:r>
      <w:r>
        <w:rPr>
          <w:rFonts w:ascii="Times New Roman"/>
          <w:b w:val="false"/>
          <w:i w:val="false"/>
          <w:color w:val="000000"/>
          <w:vertAlign w:val="superscript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Cs, </w:t>
      </w:r>
      <w:r>
        <w:rPr>
          <w:rFonts w:ascii="Times New Roman"/>
          <w:b w:val="false"/>
          <w:i w:val="false"/>
          <w:color w:val="000000"/>
          <w:vertAlign w:val="superscript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I, </w:t>
      </w:r>
      <w:r>
        <w:rPr>
          <w:rFonts w:ascii="Times New Roman"/>
          <w:b w:val="false"/>
          <w:i w:val="false"/>
          <w:color w:val="000000"/>
          <w:vertAlign w:val="superscript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Ba, </w:t>
      </w:r>
      <w:r>
        <w:rPr>
          <w:rFonts w:ascii="Times New Roman"/>
          <w:b w:val="false"/>
          <w:i w:val="false"/>
          <w:color w:val="000000"/>
          <w:vertAlign w:val="superscript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Bi, </w:t>
      </w:r>
      <w:r>
        <w:rPr>
          <w:rFonts w:ascii="Times New Roman"/>
          <w:b w:val="false"/>
          <w:i w:val="false"/>
          <w:color w:val="000000"/>
          <w:vertAlign w:val="superscript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In, </w:t>
      </w:r>
      <w:r>
        <w:rPr>
          <w:rFonts w:ascii="Times New Roman"/>
          <w:b w:val="false"/>
          <w:i w:val="false"/>
          <w:color w:val="000000"/>
          <w:vertAlign w:val="superscript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Tl, </w:t>
      </w:r>
      <w:r>
        <w:rPr>
          <w:rFonts w:ascii="Times New Roman"/>
          <w:b w:val="false"/>
          <w:i w:val="false"/>
          <w:color w:val="000000"/>
          <w:vertAlign w:val="superscript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Pd, </w:t>
      </w:r>
      <w:r>
        <w:rPr>
          <w:rFonts w:ascii="Times New Roman"/>
          <w:b w:val="false"/>
          <w:i w:val="false"/>
          <w:color w:val="000000"/>
          <w:vertAlign w:val="superscript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Ga, </w:t>
      </w:r>
      <w:r>
        <w:rPr>
          <w:rFonts w:ascii="Times New Roman"/>
          <w:b w:val="false"/>
          <w:i w:val="false"/>
          <w:color w:val="000000"/>
          <w:vertAlign w:val="superscript"/>
        </w:rPr>
        <w:t>99m</w:t>
      </w:r>
      <w:r>
        <w:rPr>
          <w:rFonts w:ascii="Times New Roman"/>
          <w:b w:val="false"/>
          <w:i w:val="false"/>
          <w:color w:val="000000"/>
          <w:sz w:val="28"/>
        </w:rPr>
        <w:t xml:space="preserve">Tc, </w:t>
      </w:r>
      <w:r>
        <w:rPr>
          <w:rFonts w:ascii="Times New Roman"/>
          <w:b w:val="false"/>
          <w:i w:val="false"/>
          <w:color w:val="000000"/>
          <w:vertAlign w:val="superscript"/>
        </w:rPr>
        <w:t>241</w:t>
      </w:r>
      <w:r>
        <w:rPr>
          <w:rFonts w:ascii="Times New Roman"/>
          <w:b w:val="false"/>
          <w:i w:val="false"/>
          <w:color w:val="000000"/>
          <w:sz w:val="28"/>
        </w:rPr>
        <w:t xml:space="preserve">Am, </w:t>
      </w:r>
      <w:r>
        <w:rPr>
          <w:rFonts w:ascii="Times New Roman"/>
          <w:b w:val="false"/>
          <w:i w:val="false"/>
          <w:color w:val="000000"/>
          <w:vertAlign w:val="superscript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Eu, </w:t>
      </w:r>
      <w:r>
        <w:rPr>
          <w:rFonts w:ascii="Times New Roman"/>
          <w:b w:val="false"/>
          <w:i w:val="false"/>
          <w:color w:val="000000"/>
          <w:vertAlign w:val="super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K;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относительное энергетическое разрешение аппаратуры по линии </w:t>
      </w:r>
      <w:r>
        <w:rPr>
          <w:rFonts w:ascii="Times New Roman"/>
          <w:b w:val="false"/>
          <w:i w:val="false"/>
          <w:color w:val="000000"/>
          <w:vertAlign w:val="superscript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>Сs – не хуже 8 процентов;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число каналов преобразователя аппаратуры – не менее 1 024;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количество сохраняемых спектров аппаратуры – не менее 100;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время непрерывной работы аппаратуры от встроенных аккумуляторов – не менее 8 часов;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рабочий диапазон температур аппаратуры – не ниже минус 20 и не выше 50 </w:t>
      </w:r>
      <w:r>
        <w:rPr>
          <w:rFonts w:ascii="Times New Roman"/>
          <w:b w:val="false"/>
          <w:i w:val="false"/>
          <w:color w:val="000000"/>
          <w:vertAlign w:val="superscript"/>
        </w:rPr>
        <w:t>○</w:t>
      </w:r>
      <w:r>
        <w:rPr>
          <w:rFonts w:ascii="Times New Roman"/>
          <w:b w:val="false"/>
          <w:i w:val="false"/>
          <w:color w:val="000000"/>
          <w:sz w:val="28"/>
        </w:rPr>
        <w:t>С при относительной влажности воздуха до 95 процентов;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вес аппаратуры – не более 9 кг.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Аппаратура индивидуальной дозиметрии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Аппаратура индивидуальной дозиметрии (далее в настоящем разделе – аппаратура) предназначена для: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непрерывного измерения индивидуального эквивалента дозы (далее – ИЭД) гамма- и рентгеновского излучения;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непрерывного измерения времени накопления ИЭД;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непрерывного измерения мощности ИЭД, хранения данных в энергонезависимой памяти и непрерывного контроля пороговых уровней ИЭД и мощности ИЭД.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Параметрами аппаратуры являются: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диапазон регистрируемой энергии гамма- и рентгеновского излучения – от 0,05 до 10 МэВ;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диапазон мощности ИЭД гамма- и рентгеновского излучения – от 0,1 мкЗв/ч до 100 мЗв/ч;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диапазон ИЭД гамма- и рентгеновского излучения – от 1,0 мкЗв до 9,99 Зв;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предел допускаемой основной относительной погрешности измерения ИЭД – не хуже 20 процентов;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время непрерывной работы аппаратуры без замены элементов питания при температуре от 0 до 60 ºС – не менее 6 месяцев;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рабочий диапазон температур аппаратуры – не ниже минус 20 и не выше 60 </w:t>
      </w:r>
      <w:r>
        <w:rPr>
          <w:rFonts w:ascii="Times New Roman"/>
          <w:b w:val="false"/>
          <w:i w:val="false"/>
          <w:color w:val="000000"/>
          <w:vertAlign w:val="superscript"/>
        </w:rPr>
        <w:t>○</w:t>
      </w:r>
      <w:r>
        <w:rPr>
          <w:rFonts w:ascii="Times New Roman"/>
          <w:b w:val="false"/>
          <w:i w:val="false"/>
          <w:color w:val="000000"/>
          <w:sz w:val="28"/>
        </w:rPr>
        <w:t>С (с индикацией результатов измерения);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вес аппаратуры – не более 0,3 кг.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Аппаратура оценки степени радиационной опасности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Аппаратура оценки степени радиационной опасности (далее в настоящем разделе – аппаратура) предназначена для контроля радиационной обстановки при эксплуатации инспекционно-досмотровых комплексов, рентгеновских досмотровых установок, радиоизотопных приборов, размещенных в местах перемещения товаров через таможенную границу Союза.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Параметрами аппаратуры являются: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диапазон регистрируемой энергии гамма- и рентгеновского излучения аппаратуры – от 0,015 до 10 МэВ;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предел допускаемой основной относительной погрешности измерения аппаратуры – не хуже 20 процентов;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диапазон измерения МАЭД кратковременного излучения аппаратуры – от 5 мкЗв/ч до 10 Зв/ч;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диапазон измерения МАЭД импульсного излучения аппаратуры – от 0,1 мкЗв/ч до 10 Зв/ч;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минимальная длительность импульсного излучения при МАЭД в импульсе до 1,0 Зв/с – не хуже 10 нс;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минимальная длительность кратковременно действующего излучения – не хуже 50 мс;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непрерывная работа аппаратуры от сети, время работы аппаратуры от встроенных аккумуляторов – не менее 12 часов;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рабочий диапазон температур аппаратуры – не ниже минус 30 и не выше 50 </w:t>
      </w:r>
      <w:r>
        <w:rPr>
          <w:rFonts w:ascii="Times New Roman"/>
          <w:b w:val="false"/>
          <w:i w:val="false"/>
          <w:color w:val="000000"/>
          <w:vertAlign w:val="superscript"/>
        </w:rPr>
        <w:t>○</w:t>
      </w:r>
      <w:r>
        <w:rPr>
          <w:rFonts w:ascii="Times New Roman"/>
          <w:b w:val="false"/>
          <w:i w:val="false"/>
          <w:color w:val="000000"/>
          <w:sz w:val="28"/>
        </w:rPr>
        <w:t>С при относительной влажности воздуха до 95 процентов;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вес аппаратуры – не более 3 кг.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