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362f" w14:textId="3ab3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руд и концентратов марганцевых, включая железистые марганцевые руды и концентраты с содержанием марганца 20 мас.% или более в пересчете на сухой продукт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октября 2021 года № 140.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ставку ввозной таможенной пошлины Единого таможенного тарифа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отношении руд и концентратов марганцевых, включая железистые марганцевые руды и концентраты с содержанием марганца 20 мас.% или более в пересчете на сухой продукт, классифицируемых кодом 2602 00 000 0 ТН ВЭД ЕАЭС, в размере 0 процентов от таможенной стоимости с даты вступления в силу настоящего Решения по 31 декабря 2023 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Единый таможенный тариф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2602 00 000 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44С)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Евразийского экономического союза дополнить примечанием 44С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44С)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19 октября 2021 г. № 140 по 31.12.2023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2 января 2022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