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4ab1" w14:textId="7de4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сентября 2021 года № 127.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апреля 2021 г. № 47.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г. № 127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Коллегии Евразийской экономической комиссии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мая 2015 г. № 42 "О классификации светодиодной лампы в соответствии с единой Товарной номенклатурой внешнеэкономической деятельности Евразийского экономического союза":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"двухштырьковым или" исключить;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"8539 50 000 9" заменить цифрами "8539 50 000 3";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пунктом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Светодиодная лампа, состоящая из размещенных в едином корпусе нескольких светодиодов и печатной платы, предназначенной для выпрямления переменного тока и преобразования напряжения до уровня, пригодного для использования светодиодами, оснащенная теплоотводом и двухштырьковым цоколем, в соответствии с Основными правилами интерпретации Товарной номенклатуры внешнеэкономической деятельности 1 и 6 классифицируется в подсубпозиции 8539 50 000 8 единой 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номенклатуры внешнеэкономической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(примеры изображений светодиодной лампы приведены в приложении).".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23 сентября 2019 г. № 167 "О классификации светодиодной лампы с аккумулятором и пультом управления в соответствии с единой Товарной номенклатурой внешнеэкономической деятельности Евразийского экономического союза" цифры "8539 50 000 9" заменить цифрами "8539 50 000 3".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