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9ab4" w14:textId="76e9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триггерной защитной меры в отношении отдельных видов женской одежды и одежды для девочек и отдельных видов трикотажных изделий, происходящих из Социалистической Республики Вьетнам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6 июля 2021 года № 85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Договора о Евразийском экономическом союзе от 29 мая 2014 года, на основании </w:t>
      </w:r>
      <w:r>
        <w:rPr>
          <w:rFonts w:ascii="Times New Roman"/>
          <w:b w:val="false"/>
          <w:i w:val="false"/>
          <w:color w:val="000000"/>
          <w:sz w:val="28"/>
        </w:rPr>
        <w:t>статьи 2.10</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 и </w:t>
      </w:r>
      <w:r>
        <w:rPr>
          <w:rFonts w:ascii="Times New Roman"/>
          <w:b w:val="false"/>
          <w:i w:val="false"/>
          <w:color w:val="000000"/>
          <w:sz w:val="28"/>
        </w:rPr>
        <w:t>Порядка</w:t>
      </w:r>
      <w:r>
        <w:rPr>
          <w:rFonts w:ascii="Times New Roman"/>
          <w:b w:val="false"/>
          <w:i w:val="false"/>
          <w:color w:val="000000"/>
          <w:sz w:val="28"/>
        </w:rPr>
        <w:t xml:space="preserve"> применения триггерных защитных мер в рамках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утвержденного Решением Совета Евразийской экономической комиссии от 18 октября 2016 г. № 115,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1. Применить триггерную защитную меру в отношении следующих товаров, происходящих из Социалистической Республики Вьетнам и ввозимых на таможенную территорию Евразийского экономического союза с применением тарифных преференций в соответствии с Соглашением:</w:t>
      </w:r>
    </w:p>
    <w:bookmarkEnd w:id="1"/>
    <w:bookmarkStart w:name="z6" w:id="2"/>
    <w:p>
      <w:pPr>
        <w:spacing w:after="0"/>
        <w:ind w:left="0"/>
        <w:jc w:val="both"/>
      </w:pPr>
      <w:r>
        <w:rPr>
          <w:rFonts w:ascii="Times New Roman"/>
          <w:b w:val="false"/>
          <w:i w:val="false"/>
          <w:color w:val="000000"/>
          <w:sz w:val="28"/>
        </w:rPr>
        <w:t>
      отдельные виды женской одежды и одежды для девочек, классифицируемые кодами 6104 41 000 0, 6104 42 000 0, 6104 43 000 0, 6104 44 000 0, 6104 49 000 0, 6204 41 000 0, 6204 42 000 0, 6204 43 000 0, 6204 44 000 0, 6204 49 100 0 и 6204 49 900 0 ТН ВЭД ЕАЭС;</w:t>
      </w:r>
    </w:p>
    <w:bookmarkEnd w:id="2"/>
    <w:bookmarkStart w:name="z7" w:id="3"/>
    <w:p>
      <w:pPr>
        <w:spacing w:after="0"/>
        <w:ind w:left="0"/>
        <w:jc w:val="both"/>
      </w:pPr>
      <w:r>
        <w:rPr>
          <w:rFonts w:ascii="Times New Roman"/>
          <w:b w:val="false"/>
          <w:i w:val="false"/>
          <w:color w:val="000000"/>
          <w:sz w:val="28"/>
        </w:rPr>
        <w:t>
      отдельные виды трикотажных изделий, классифицируемые в товарной позиции 6110 ТН ВЭД ЕАЭС.</w:t>
      </w:r>
    </w:p>
    <w:bookmarkEnd w:id="3"/>
    <w:bookmarkStart w:name="z8" w:id="4"/>
    <w:p>
      <w:pPr>
        <w:spacing w:after="0"/>
        <w:ind w:left="0"/>
        <w:jc w:val="both"/>
      </w:pPr>
      <w:r>
        <w:rPr>
          <w:rFonts w:ascii="Times New Roman"/>
          <w:b w:val="false"/>
          <w:i w:val="false"/>
          <w:color w:val="000000"/>
          <w:sz w:val="28"/>
        </w:rPr>
        <w:t>
      Установить срок действия триггерной защитной меры 6 месяцев.</w:t>
      </w:r>
    </w:p>
    <w:bookmarkEnd w:id="4"/>
    <w:bookmarkStart w:name="z9" w:id="5"/>
    <w:p>
      <w:pPr>
        <w:spacing w:after="0"/>
        <w:ind w:left="0"/>
        <w:jc w:val="both"/>
      </w:pPr>
      <w:r>
        <w:rPr>
          <w:rFonts w:ascii="Times New Roman"/>
          <w:b w:val="false"/>
          <w:i w:val="false"/>
          <w:color w:val="000000"/>
          <w:sz w:val="28"/>
        </w:rPr>
        <w:t>
      2. Установить, что триггерная защитная мера применяется в форме ввозной таможенной пошлины, вид и размер которой соответствуют виду и размеру ставки ввозной таможенной пошлины Единого таможенного тарифа Евразийского экономического союза, применяемой в отношении товаров, указанных в пункте 1 настоящего Решения, на дату вступления настоящего Решения в силу.</w:t>
      </w:r>
    </w:p>
    <w:bookmarkEnd w:id="5"/>
    <w:bookmarkStart w:name="z10" w:id="6"/>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