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ed66" w14:textId="4c3e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уникальной идентификации сопроводительного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83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уникальной идентификации сопроводительного документа.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органы государственной власти государств – членов Евразийского экономического союза (далее – государства-члены), уполномоченные обеспечивать координацию реализации механизма прослеживаемости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, в случае внесения изменений в структуру регистрационного номера сопроводительного документа информировать Евразийскую экономическую комиссию об указанных изменениях не позднее чем за 6 месяцев до даты начала их применения.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указанная в абзаце первом настоящего пункта, доводится Евразийской экономической комиссией до сведения органов государственной власти других государств-членов, уполномоченных обеспечивать координацию реализации механизма прослеживаемости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>, в течение 10 рабочих дней со дня, следующего за днем получения информации.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Просить государства-члены предусмотреть обязательное указание второго фасета регистрационного номера, формируемого в соответствии с законодательством государства-члена и обеспечивающего уникальность идентификации сопроводительного документа в государстве-члене, в сопроводительном документе или в приложении к нему (при оформлении на бумажном носителе).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 г. № 83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уникальной идентификации сопроводительного документа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обеспечения уникальной идентификации сопроводительного документа его регистрационный номер, формируемый в национальной системе прослеживаемости, имеет следующую структуру: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YY-X...X, где: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YY – первый фасет, состоящий из 2 символов, означающих код государства – члена Евразийского экономического союза (далее – государства-члены), с территории которого перемещаются товары, подлежащие прослеживаемости, согласно классификатору стран мира,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 378 (Республика Армения – AM, Республика Беларусь – BY, Республика Казахстан – KZ, Кыргызская Республика – KG, Российская Федерация – RU);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X...X – второй фасет, не превышающий 50 символов, формируемый в соответствии с законодательством государства-члена и обеспечивающий уникальность идентификации сопроводительного документа в государстве-члене.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второго фасета регистрационного номера могут использоваться только арабские цифры, буквы латинского и кириллического алфавитов и разделители.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Примеры формирования второго фасета регистрационного номера сопроводительного документа в государствах-членах приведены в приложении к настоящим Требованиям.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уникальной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сопроводительного документа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</w:t>
      </w:r>
      <w:r>
        <w:br/>
      </w:r>
      <w:r>
        <w:rPr>
          <w:rFonts w:ascii="Times New Roman"/>
          <w:b/>
          <w:i w:val="false"/>
          <w:color w:val="000000"/>
        </w:rPr>
        <w:t>формирования второго фасета регистрационного номера сопроводительного документа в государствах – членах Евразийского экономического союза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Республике Армения: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YXXXXXXXXXX, где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буква латинского алфавита (1 символ);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XXXXXXXXXX – уникальный набор символов, формируемый в национальной системе прослеживаемости (10 символов).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Республике Беларусь: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CCC-GGGGGGGGGGGGG-N…N, где: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ССС – код EDI-провайдера, присвоенный уполномоченной организацией при выдаче аттестата оператора электронного документооборота (3 символа);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GGGGGGGGGGGGG – номер GLN грузоотправителя (13 символов);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N…N – уникальный порядковый номер электронной накладной в рамках грузоотправителя (от 1 до 25 символов).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Республике Казахстан: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ESF-XXXXXXXXXXXX-ГГГГММДД-XXХХХХXX, где: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ESF – 3 символа;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XXXXXXXXXXXX – 12 цифр, заполняется сведениями о ИИН/БИН налогоплательщика – поставщика товаров, работ,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ГГГГММДД – дата присвоения регистрационного номера сопроводительному документу, формируемому в национальной системе прослеживаемости (8 символов: ГГГГ – год (4 символа), ММ – месяц (2 символа в интервале от 01 до 12), ДД – день (2 символа в интервале от 01 до 31));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 – уникальный идентификатор в базе данных, сформированный в произвольном порядке (8 символов).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Кыргызской Республике: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X…X, где: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X…X – уникальный набор символов, формируемый в национальной системе прослеживаемости (от 1 до 41 символа).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Российской Федерации: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XXXXXXXXXXXXX, где: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XXXXXXXXXXXXX – уникальный набор символов, формируемый в национальной системе прослеживаемости (13 символов).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