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e77d" w14:textId="b8ae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Правила осуществления государственного контроля драгоценных камней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апреля 2021 года № 48.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Внести в Правила осуществления государственного контроля драгоценных камней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Коллегии Евразийской экономической комиссии от 21 апреля 2015 г. № 30)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пункт 8 изложить в следующей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При осуществлении государственного контроля обработанных драгоценных камней, предназначенных для вывоза с таможенной территории Союза, дополнительно к документам, указанным в пункте 5 настоящих Правил, представляются следующие документы: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отгрузочная спецификация, отражающая полный ассортимент обработанных драгоценных камней в количественном и стоимостном выражении;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справка об использовании необработанных драгоценных камней для изготовления драгоценных камней по внешнеторговому договору (контракту), составленная по форме согласно приложению № 4;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документы, подтверждающие происхождение (приобретение) драгоценных камней и законность владения ими (контракт, посреднический договор, акт выдачи, спецификация (ведомость комплектации));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иные документы, предусмотренные законодательством государства-члена.";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приложение № 5 исключить.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